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98B" w:rsidRDefault="00A4398B" w:rsidP="00A4398B">
      <w:pPr>
        <w:pStyle w:val="berschrift1"/>
      </w:pPr>
      <w:r w:rsidRPr="008F3CD9">
        <w:t>Monographien</w:t>
      </w:r>
      <w:r>
        <w:rPr>
          <w:rStyle w:val="Funotenzeichen"/>
        </w:rPr>
        <w:footnoteReference w:id="1"/>
      </w:r>
      <w:r w:rsidRPr="008F3CD9">
        <w:t xml:space="preserve"> </w:t>
      </w:r>
      <w:r w:rsidR="006935D3">
        <w:t>und ihr digitales Potenz</w:t>
      </w:r>
      <w:r w:rsidR="00BF510F">
        <w:t xml:space="preserve">ial </w:t>
      </w:r>
      <w:r w:rsidRPr="008F3CD9">
        <w:t>in der Forschun</w:t>
      </w:r>
      <w:r>
        <w:t>g</w:t>
      </w:r>
      <w:r w:rsidR="006935D3">
        <w:t xml:space="preserve"> des 21.</w:t>
      </w:r>
      <w:r w:rsidRPr="008F3CD9">
        <w:t xml:space="preserve"> Jahrhunderts</w:t>
      </w:r>
    </w:p>
    <w:p w:rsidR="00E376B0" w:rsidRPr="00E376B0" w:rsidRDefault="00E376B0" w:rsidP="00E376B0">
      <w:pPr>
        <w:jc w:val="left"/>
        <w:rPr>
          <w:lang w:val="en-US"/>
        </w:rPr>
      </w:pPr>
      <w:r w:rsidRPr="00E376B0">
        <w:rPr>
          <w:lang w:val="en-US"/>
        </w:rPr>
        <w:t xml:space="preserve">Margo </w:t>
      </w:r>
      <w:proofErr w:type="spellStart"/>
      <w:r w:rsidRPr="00E376B0">
        <w:rPr>
          <w:lang w:val="en-US"/>
        </w:rPr>
        <w:t>Bargh</w:t>
      </w:r>
      <w:r>
        <w:rPr>
          <w:lang w:val="en-US"/>
        </w:rPr>
        <w:t>eer</w:t>
      </w:r>
      <w:proofErr w:type="spellEnd"/>
      <w:r>
        <w:rPr>
          <w:lang w:val="en-US"/>
        </w:rPr>
        <w:t xml:space="preserve">, </w:t>
      </w:r>
      <w:r w:rsidRPr="00E376B0">
        <w:rPr>
          <w:lang w:val="en-US"/>
        </w:rPr>
        <w:t>Andrea Rapp, Wolfram Horstmann</w:t>
      </w:r>
    </w:p>
    <w:p w:rsidR="00A4398B" w:rsidRPr="00881089" w:rsidRDefault="00A4398B" w:rsidP="0035673C">
      <w:pPr>
        <w:pStyle w:val="berschrift3"/>
      </w:pPr>
      <w:r w:rsidRPr="00881089">
        <w:t xml:space="preserve">Einleitung </w:t>
      </w:r>
    </w:p>
    <w:p w:rsidR="00A4398B" w:rsidRDefault="00A4398B" w:rsidP="00A4398B">
      <w:r>
        <w:t>Will man Wandlungsprozesse im wissenschaftlichen Publikationswesen ve</w:t>
      </w:r>
      <w:r>
        <w:t>r</w:t>
      </w:r>
      <w:r>
        <w:t>stehen und steuern, ist der Blick auf die Funktionen des Publizierens nützlich, um herausarbeiten zu können, welche Funktionen in bestimmten Kontexten wie zum Tragen kommen und wie sie sich gegenseitig beeinflussen. Diesen Ansatz wollen wir auf die Fragestellung anwenden, wie die Monographie als bedeutsames Publikationsmedium für die Geistes-, Sozial- und Gesellschaft</w:t>
      </w:r>
      <w:r>
        <w:t>s</w:t>
      </w:r>
      <w:r>
        <w:t xml:space="preserve">wissenschaften im digitalen Wandel ihr volles </w:t>
      </w:r>
      <w:r w:rsidR="006935D3">
        <w:t>Potenzial</w:t>
      </w:r>
      <w:r>
        <w:t xml:space="preserve"> entfalten können. Denn dass sie sich in einem krisenhaften Zustand befindet, lässt sich nicht nur aus polemischen Feuilleton-Beiträgen herauslesen</w:t>
      </w:r>
      <w:r>
        <w:rPr>
          <w:rStyle w:val="Funotenzeichen"/>
        </w:rPr>
        <w:footnoteReference w:id="2"/>
      </w:r>
      <w:r>
        <w:t>, sondern aus vielen Aspe</w:t>
      </w:r>
      <w:r>
        <w:t>k</w:t>
      </w:r>
      <w:r>
        <w:t>ten schlussfolgern, die wir im Laufe des Artikels näher ausführen. 1997 b</w:t>
      </w:r>
      <w:r>
        <w:t>e</w:t>
      </w:r>
      <w:r>
        <w:t>nannten Roosendaal und Geurts (siehe dort 1997) für die wissenschaftliche Publikation die vier Grundfunktionen „registration, certification, awareness and archiving“, also den a) Registrierungsaspekt wie Entdeckungspriorität und Zuschreibung der Urheberschaft, b) die Zertifizierung im Sinne der Anerke</w:t>
      </w:r>
      <w:r>
        <w:t>n</w:t>
      </w:r>
      <w:r>
        <w:t>nung als wissenschaftliche Information durch Selektion und Qualitätssich</w:t>
      </w:r>
      <w:r>
        <w:t>e</w:t>
      </w:r>
      <w:r>
        <w:t xml:space="preserve">rung, c) die Verbreitung, damit Information in den Aufmerksamkeitskegel der wissenschaftlichen Gemeinschaft treten kann sowie d) die Archivierung für die langfristige Überprüfbarkeit im dialogischen Prozess der Wissenschaft. </w:t>
      </w:r>
    </w:p>
    <w:p w:rsidR="00A44C56" w:rsidRDefault="00A4398B" w:rsidP="00980DBE">
      <w:pPr>
        <w:pStyle w:val="Lauftext"/>
      </w:pPr>
      <w:r>
        <w:t xml:space="preserve">Die Funktionen stehen dabei nicht losgelöst voneinander, sondern </w:t>
      </w:r>
      <w:r w:rsidR="00980DBE">
        <w:t>wirken häufig</w:t>
      </w:r>
      <w:r>
        <w:t xml:space="preserve"> in ein</w:t>
      </w:r>
      <w:r w:rsidR="00980DBE">
        <w:t>em</w:t>
      </w:r>
      <w:r>
        <w:t xml:space="preserve"> rückgekoppelte</w:t>
      </w:r>
      <w:r w:rsidR="00980DBE">
        <w:t>n</w:t>
      </w:r>
      <w:r>
        <w:t xml:space="preserve"> Spannungsverhältnis. Im derzeitigen Eval</w:t>
      </w:r>
      <w:r>
        <w:t>u</w:t>
      </w:r>
      <w:r>
        <w:t>ierungs- und Belohnungssystem der Wissenschaft etwa wird der Zertifizierung durch Selektion ein hoher Wert beigemessen, in seiner problematischen Au</w:t>
      </w:r>
      <w:r>
        <w:t>s</w:t>
      </w:r>
      <w:r>
        <w:lastRenderedPageBreak/>
        <w:t xml:space="preserve">formung durch den Impact-Faktor symbolisiert. </w:t>
      </w:r>
    </w:p>
    <w:p w:rsidR="00A4398B" w:rsidRDefault="00A4398B" w:rsidP="00A44C56">
      <w:r>
        <w:t>Für Autoren</w:t>
      </w:r>
      <w:r>
        <w:rPr>
          <w:rStyle w:val="Funotenzeichen"/>
          <w:rFonts w:eastAsiaTheme="majorEastAsia"/>
        </w:rPr>
        <w:footnoteReference w:id="3"/>
      </w:r>
      <w:r>
        <w:t xml:space="preserve"> wissenschaftlicher Information, die Leistungsnachweise zu e</w:t>
      </w:r>
      <w:r>
        <w:t>r</w:t>
      </w:r>
      <w:r>
        <w:t>bringen haben, ergibt sich also die Notwendigkeit, ein Publikationsorgan zu wählen, in dem diese Funktion möglichst stark ausgeprägt ist. Damit wird die Reputation des Publikationso</w:t>
      </w:r>
      <w:r>
        <w:t>r</w:t>
      </w:r>
      <w:r>
        <w:t>gans zu einem symbolischen Kapital mit hoher Anziehungskraft für Autoren, wobei die Autorenschaft im Wissenschaftssy</w:t>
      </w:r>
      <w:r>
        <w:t>s</w:t>
      </w:r>
      <w:r>
        <w:t>tem weitgehend deckungsgleich mit der Leserschaft ist und damit hohe A</w:t>
      </w:r>
      <w:r>
        <w:t>t</w:t>
      </w:r>
      <w:r>
        <w:t>traktivität bei der Leserschaft en</w:t>
      </w:r>
      <w:r>
        <w:t>t</w:t>
      </w:r>
      <w:r>
        <w:t>steht. Mit dieser Anziehungskraft können Anbieter dieser Information, also Verlage als Intermediäre, das symbolische Kapital der Reputation in reales Kapital umwandeln und bestmöglich ko</w:t>
      </w:r>
      <w:r>
        <w:t>m</w:t>
      </w:r>
      <w:r>
        <w:t>merzialisieren. Erreichen die Anbi</w:t>
      </w:r>
      <w:r>
        <w:t>e</w:t>
      </w:r>
      <w:r>
        <w:t>ter wissenschaftlicher Information eine hohe Verbreitung des Gutes, gewinnen sie gegenüber den Abnehmern der I</w:t>
      </w:r>
      <w:r>
        <w:t>n</w:t>
      </w:r>
      <w:r>
        <w:t>formation wiederum an Reputation, was die weite Verbreitung gewährleistet und die ökonomische Position der Anbi</w:t>
      </w:r>
      <w:r>
        <w:t>e</w:t>
      </w:r>
      <w:r>
        <w:t xml:space="preserve">ter weiter stärkt. Im digitalen Wandel </w:t>
      </w:r>
      <w:r w:rsidRPr="00A44C56">
        <w:rPr>
          <w:spacing w:val="-4"/>
        </w:rPr>
        <w:t>mit seiner flankierenden Begleitersche</w:t>
      </w:r>
      <w:r w:rsidRPr="00A44C56">
        <w:rPr>
          <w:spacing w:val="-4"/>
        </w:rPr>
        <w:t>i</w:t>
      </w:r>
      <w:r w:rsidRPr="00A44C56">
        <w:rPr>
          <w:spacing w:val="-4"/>
        </w:rPr>
        <w:t>nung von Open Access hat sich vor allem die Verbreitungsfunktion</w:t>
      </w:r>
      <w:r w:rsidRPr="00A44C56">
        <w:rPr>
          <w:rStyle w:val="Funotenzeichen"/>
          <w:spacing w:val="-4"/>
        </w:rPr>
        <w:footnoteReference w:id="4"/>
      </w:r>
      <w:r w:rsidRPr="00A44C56">
        <w:rPr>
          <w:spacing w:val="-4"/>
        </w:rPr>
        <w:t xml:space="preserve"> von Pu</w:t>
      </w:r>
      <w:r w:rsidRPr="00A44C56">
        <w:rPr>
          <w:spacing w:val="-4"/>
        </w:rPr>
        <w:t>b</w:t>
      </w:r>
      <w:r w:rsidRPr="00A44C56">
        <w:rPr>
          <w:spacing w:val="-4"/>
        </w:rPr>
        <w:t>likationen radikal verändert. Dies zeigt sich an der Mächtigkeit</w:t>
      </w:r>
      <w:r>
        <w:t xml:space="preserve"> von komme</w:t>
      </w:r>
      <w:r>
        <w:t>r</w:t>
      </w:r>
      <w:r>
        <w:t>ziellen Nachweissystemen wie dem Verzeichnis lieferbarer Bücher, Anbietern wie Amazon, und – auf unsere Fr</w:t>
      </w:r>
      <w:r>
        <w:t>a</w:t>
      </w:r>
      <w:r>
        <w:t xml:space="preserve">gestellung angewandt – der Publikationskultur in den </w:t>
      </w:r>
      <w:r w:rsidRPr="008F3CD9">
        <w:t>Natu</w:t>
      </w:r>
      <w:r>
        <w:t>r- und Lebenswi</w:t>
      </w:r>
      <w:r>
        <w:t>s</w:t>
      </w:r>
      <w:r>
        <w:t>senschaften (science, technology and medicine, kurz STM) mit ihrem Leitm</w:t>
      </w:r>
      <w:r>
        <w:t>e</w:t>
      </w:r>
      <w:r>
        <w:t>dium, dem Artikel in wissenschaftlichen Zeitschriften, der neben den Journals auch and</w:t>
      </w:r>
      <w:r>
        <w:t>e</w:t>
      </w:r>
      <w:r>
        <w:t>re</w:t>
      </w:r>
      <w:r w:rsidR="00752476">
        <w:t>n</w:t>
      </w:r>
      <w:r>
        <w:t xml:space="preserve"> Plattformen wie arXiv.org, Google Scholar, ResearchGate, Academia.edu oder ScienceOpen überhaupt erst zu ihrer Bedeutung verholfen hat</w:t>
      </w:r>
      <w:r w:rsidRPr="008F3CD9">
        <w:t xml:space="preserve">. </w:t>
      </w:r>
    </w:p>
    <w:p w:rsidR="00A4398B" w:rsidRPr="00707A92" w:rsidRDefault="00A4398B" w:rsidP="00707A92">
      <w:pPr>
        <w:pStyle w:val="berschrift2"/>
        <w:spacing w:line="240" w:lineRule="exact"/>
        <w:rPr>
          <w:sz w:val="22"/>
          <w:szCs w:val="22"/>
        </w:rPr>
      </w:pPr>
      <w:r w:rsidRPr="00707A92">
        <w:rPr>
          <w:sz w:val="22"/>
          <w:szCs w:val="22"/>
        </w:rPr>
        <w:t>Digitale Verfügbarkeit</w:t>
      </w:r>
      <w:r w:rsidR="004A2F86" w:rsidRPr="00707A92">
        <w:rPr>
          <w:sz w:val="22"/>
          <w:szCs w:val="22"/>
        </w:rPr>
        <w:t xml:space="preserve"> in den Naturwissenschaften</w:t>
      </w:r>
    </w:p>
    <w:p w:rsidR="00A4398B" w:rsidRDefault="00A4398B" w:rsidP="00A4398B">
      <w:r>
        <w:t xml:space="preserve">Digitale Prozesse </w:t>
      </w:r>
      <w:r w:rsidR="00BF510F">
        <w:t>und</w:t>
      </w:r>
      <w:r>
        <w:t xml:space="preserve"> das Internet erlauben die 24/7 Verfügbarkeit der g</w:t>
      </w:r>
      <w:r>
        <w:t>e</w:t>
      </w:r>
      <w:r>
        <w:t>nannten Artikel, die damit selbstverständlicher</w:t>
      </w:r>
      <w:r>
        <w:rPr>
          <w:rStyle w:val="Funotenzeichen"/>
        </w:rPr>
        <w:footnoteReference w:id="5"/>
      </w:r>
      <w:r>
        <w:t xml:space="preserve"> Teil des wissenschaftlichen Arbeitens geworden </w:t>
      </w:r>
      <w:r w:rsidR="00DB3AA8">
        <w:t>sind</w:t>
      </w:r>
      <w:r>
        <w:t>, entweder von Bibliotheken kostenintensiv bereitg</w:t>
      </w:r>
      <w:r>
        <w:t>e</w:t>
      </w:r>
      <w:r>
        <w:t>stellt, von Verlagen überteuert als Einzelzugriff angeboten (</w:t>
      </w:r>
      <w:bookmarkStart w:id="0" w:name="_GoBack"/>
      <w:bookmarkEnd w:id="0"/>
      <w:r>
        <w:t>und von Wisse</w:t>
      </w:r>
      <w:r>
        <w:t>n</w:t>
      </w:r>
      <w:r>
        <w:t>schaftlern mit dem Hashtag #icanhazpdf kreativ unterlaufen), auf den o.g. Plattformen mehr oder minder zuverlässig erreichbar oder auf der Produkt</w:t>
      </w:r>
      <w:r>
        <w:t>i</w:t>
      </w:r>
      <w:r>
        <w:t xml:space="preserve">onsseite finanziert und dann verlässlich Open Access bereitgestellt. </w:t>
      </w:r>
    </w:p>
    <w:p w:rsidR="002D6B22" w:rsidRDefault="00A4398B" w:rsidP="00BF510F">
      <w:pPr>
        <w:pStyle w:val="Lauftext"/>
      </w:pPr>
      <w:r>
        <w:t>Die digitale Verfügbarkeit hat zu erheblichen Mehrwerten für die Kons</w:t>
      </w:r>
      <w:r>
        <w:t>u</w:t>
      </w:r>
      <w:r>
        <w:t>mierenden wissenschaftlicher Information geführt, sowohl bei den Funktion</w:t>
      </w:r>
      <w:r>
        <w:t>a</w:t>
      </w:r>
      <w:r>
        <w:t>litäten des Mediums selbst (digitale Referenzierungen, Zugriff auf Primärd</w:t>
      </w:r>
      <w:r>
        <w:t>a</w:t>
      </w:r>
      <w:r>
        <w:t xml:space="preserve">ten, Integration dynamischer Elemente) als auch bei der Verbreitung. Für die </w:t>
      </w:r>
      <w:r>
        <w:lastRenderedPageBreak/>
        <w:t>Funktion Verbreitung steh</w:t>
      </w:r>
      <w:r w:rsidR="003E1BBE">
        <w:t>t</w:t>
      </w:r>
      <w:r>
        <w:t xml:space="preserve"> neben der generellen digitalen Bereitstellung eine wachsende Zahl von Open-Access-Publikationsangeboten für die wisse</w:t>
      </w:r>
      <w:r>
        <w:t>n</w:t>
      </w:r>
      <w:r>
        <w:t xml:space="preserve">schaftlichen </w:t>
      </w:r>
      <w:r w:rsidRPr="008F3CD9">
        <w:t>Autoren</w:t>
      </w:r>
      <w:r>
        <w:t xml:space="preserve"> in den STM-Feldern bereit. Etablierte sowie neugegrü</w:t>
      </w:r>
      <w:r>
        <w:t>n</w:t>
      </w:r>
      <w:r>
        <w:t>dete Zeitschriften offerieren Open-Access-Publikationsmöglichkeiten</w:t>
      </w:r>
      <w:r w:rsidR="005E78CE">
        <w:t>,</w:t>
      </w:r>
      <w:r>
        <w:t xml:space="preserve"> und</w:t>
      </w:r>
      <w:r w:rsidRPr="008F3CD9">
        <w:t xml:space="preserve"> </w:t>
      </w:r>
      <w:r>
        <w:t>den Autoren stehen</w:t>
      </w:r>
      <w:r w:rsidRPr="008F3CD9">
        <w:t xml:space="preserve"> gesicherte Finanzierungs- und Förder</w:t>
      </w:r>
      <w:r w:rsidR="00980DBE">
        <w:t>-</w:t>
      </w:r>
      <w:r w:rsidRPr="008F3CD9">
        <w:t xml:space="preserve"> sowie Lizenzmodelle </w:t>
      </w:r>
      <w:r>
        <w:t>zur Verfügung</w:t>
      </w:r>
      <w:r w:rsidRPr="008F3CD9">
        <w:t xml:space="preserve">. </w:t>
      </w:r>
    </w:p>
    <w:p w:rsidR="00A4398B" w:rsidRPr="008F3CD9" w:rsidRDefault="00A4398B" w:rsidP="00BF510F">
      <w:pPr>
        <w:pStyle w:val="Lauftext"/>
      </w:pPr>
      <w:r w:rsidRPr="008F3CD9">
        <w:t xml:space="preserve">Ebenso haben Aktivitäten der Forschungsförderer, etwa die Einrichtung von </w:t>
      </w:r>
      <w:r>
        <w:t>Open-Access</w:t>
      </w:r>
      <w:r w:rsidRPr="008F3CD9">
        <w:t>-Publikationsfonds zusammen mit der DFG oder die Open-Access-Leitlinien der Europäischen Kommission, an einigen Einrichtungen die Sichtbarkeit, Durchsetzung und Akzeptanz von OA-Publikationen gefö</w:t>
      </w:r>
      <w:r w:rsidRPr="008F3CD9">
        <w:t>r</w:t>
      </w:r>
      <w:r w:rsidRPr="008F3CD9">
        <w:t>dert. Auch die jahrelangen Anstrengungen der Förderorganisationen und wi</w:t>
      </w:r>
      <w:r w:rsidRPr="008F3CD9">
        <w:t>s</w:t>
      </w:r>
      <w:r w:rsidRPr="008F3CD9">
        <w:t>senschaftlichen Einrichtungen zum Aufbau einer flächendeckenden Reposit</w:t>
      </w:r>
      <w:r w:rsidRPr="008F3CD9">
        <w:t>o</w:t>
      </w:r>
      <w:r w:rsidRPr="008F3CD9">
        <w:t xml:space="preserve">rien-Infrastruktur </w:t>
      </w:r>
      <w:r w:rsidR="00147CB8" w:rsidRPr="008F3CD9">
        <w:t xml:space="preserve">haben </w:t>
      </w:r>
      <w:r w:rsidR="00147CB8">
        <w:t xml:space="preserve">dazu </w:t>
      </w:r>
      <w:r w:rsidRPr="008F3CD9">
        <w:t>beigetragen, womit der Anteil der bereitgestel</w:t>
      </w:r>
      <w:r w:rsidRPr="008F3CD9">
        <w:t>l</w:t>
      </w:r>
      <w:r w:rsidRPr="008F3CD9">
        <w:t>ten Literatur im Open Access langsam, aber stetig wächst.</w:t>
      </w:r>
      <w:r>
        <w:t xml:space="preserve"> So lässt sich für die STM-Felder beobachten, dass die Messlatte der Zertifizierung nicht entlang digitaler vs</w:t>
      </w:r>
      <w:r w:rsidR="0071210D">
        <w:t>.</w:t>
      </w:r>
      <w:r>
        <w:t xml:space="preserve"> nicht-digitaler oder Open Access vs. </w:t>
      </w:r>
      <w:proofErr w:type="spellStart"/>
      <w:r w:rsidR="00752476">
        <w:t>Closed</w:t>
      </w:r>
      <w:proofErr w:type="spellEnd"/>
      <w:r w:rsidR="00752476">
        <w:t>-Access-</w:t>
      </w:r>
      <w:r>
        <w:t>Bereit</w:t>
      </w:r>
      <w:r w:rsidR="0035673C">
        <w:softHyphen/>
      </w:r>
      <w:r>
        <w:t>stellung verläuft, sondern entlang der erreichten Höhe von Zertifizierungs</w:t>
      </w:r>
      <w:r w:rsidR="005E78CE">
        <w:t>p</w:t>
      </w:r>
      <w:r w:rsidR="006935D3">
        <w:t>o</w:t>
      </w:r>
      <w:r w:rsidR="006935D3">
        <w:t>tenzial</w:t>
      </w:r>
      <w:r>
        <w:t xml:space="preserve">, dem „impact“, gebildet aus Reputation und Verbreitung. </w:t>
      </w:r>
    </w:p>
    <w:p w:rsidR="00E75226" w:rsidRPr="00707A92" w:rsidRDefault="004A2F86" w:rsidP="00707A92">
      <w:pPr>
        <w:pStyle w:val="berschrift2"/>
        <w:spacing w:line="240" w:lineRule="exact"/>
        <w:rPr>
          <w:sz w:val="22"/>
          <w:szCs w:val="22"/>
        </w:rPr>
      </w:pPr>
      <w:r w:rsidRPr="00707A92">
        <w:rPr>
          <w:sz w:val="22"/>
          <w:szCs w:val="22"/>
        </w:rPr>
        <w:t>Die Situation</w:t>
      </w:r>
      <w:r w:rsidR="00E75226" w:rsidRPr="00707A92">
        <w:rPr>
          <w:sz w:val="22"/>
          <w:szCs w:val="22"/>
        </w:rPr>
        <w:t xml:space="preserve"> in den Geistes-, Sozial- und Gesellschaftswissenschaften</w:t>
      </w:r>
    </w:p>
    <w:p w:rsidR="002D6B22" w:rsidRDefault="00A4398B" w:rsidP="00E75226">
      <w:r w:rsidRPr="008F3CD9">
        <w:t xml:space="preserve">Für die </w:t>
      </w:r>
      <w:r>
        <w:t xml:space="preserve">deutschsprachigen </w:t>
      </w:r>
      <w:r w:rsidRPr="008F3CD9">
        <w:t>Geistes-, Sozial- und Gesellschaftswissenschaften</w:t>
      </w:r>
      <w:r>
        <w:t xml:space="preserve"> mit ihrer Buchorientierung</w:t>
      </w:r>
      <w:r w:rsidRPr="008F3CD9">
        <w:t xml:space="preserve"> ergibt sich jedoch ein anderes Bild. </w:t>
      </w:r>
      <w:r>
        <w:t>Die Monogr</w:t>
      </w:r>
      <w:r>
        <w:t>a</w:t>
      </w:r>
      <w:r>
        <w:t>phie im Sinne des „langen Arguments“, der umfangreiche Text als Verschrä</w:t>
      </w:r>
      <w:r>
        <w:t>n</w:t>
      </w:r>
      <w:r>
        <w:t xml:space="preserve">kung von Forschungssituation, Kontextualisierung und Forschungsergebnis hat in der </w:t>
      </w:r>
      <w:r w:rsidR="0071210D">
        <w:t>wissenschaftlichen</w:t>
      </w:r>
      <w:r>
        <w:t xml:space="preserve"> Kommunikation</w:t>
      </w:r>
      <w:r w:rsidRPr="008F3CD9">
        <w:t xml:space="preserve"> nach wie vor eine </w:t>
      </w:r>
      <w:r>
        <w:t xml:space="preserve">dominante Stellung, </w:t>
      </w:r>
      <w:r w:rsidR="0071210D">
        <w:t xml:space="preserve">auch </w:t>
      </w:r>
      <w:r>
        <w:t>bei der</w:t>
      </w:r>
      <w:r w:rsidRPr="002D02D5">
        <w:t xml:space="preserve"> Entwicklung einer wissenschaftlichen Karriere. Wä</w:t>
      </w:r>
      <w:r w:rsidRPr="002D02D5">
        <w:t>h</w:t>
      </w:r>
      <w:r w:rsidRPr="002D02D5">
        <w:t>rend Forschende in den Naturwissenschaften zur karrierefördernden Verö</w:t>
      </w:r>
      <w:r w:rsidRPr="002D02D5">
        <w:t>f</w:t>
      </w:r>
      <w:r w:rsidRPr="002D02D5">
        <w:t>fentlichung ihrer Ergebnisse ausschließlich auf digitale Zeitschriftenbeiträge setzen</w:t>
      </w:r>
      <w:r>
        <w:t xml:space="preserve"> und kumulativ promovieren können</w:t>
      </w:r>
      <w:r w:rsidRPr="002D02D5">
        <w:t>, ist zum Beispiel die Verlagsverö</w:t>
      </w:r>
      <w:r w:rsidRPr="002D02D5">
        <w:t>f</w:t>
      </w:r>
      <w:r w:rsidRPr="002D02D5">
        <w:t>fentlichung der Promotionsarbeit als gedruckte Monographie in großen Teilen der Geistes- und Gesellschaftswissenschaften ein Qualitätsmerkmal wisse</w:t>
      </w:r>
      <w:r w:rsidRPr="002D02D5">
        <w:t>n</w:t>
      </w:r>
      <w:r w:rsidRPr="002D02D5">
        <w:t xml:space="preserve">schaftlicher Arbeiten und wird nach wie vor auch in Promotionsordnungen </w:t>
      </w:r>
      <w:r w:rsidR="00752476">
        <w:t>sowie</w:t>
      </w:r>
      <w:r w:rsidR="00752476" w:rsidRPr="002D02D5">
        <w:t xml:space="preserve"> </w:t>
      </w:r>
      <w:r w:rsidRPr="002D02D5">
        <w:t>von Promotionsausschüssen propagiert und in Ber</w:t>
      </w:r>
      <w:r>
        <w:t>ufungs</w:t>
      </w:r>
      <w:r w:rsidR="0071210D">
        <w:t>- und Einste</w:t>
      </w:r>
      <w:r w:rsidR="0071210D">
        <w:t>l</w:t>
      </w:r>
      <w:r w:rsidR="0071210D">
        <w:t>lu</w:t>
      </w:r>
      <w:r w:rsidR="002970ED">
        <w:t>n</w:t>
      </w:r>
      <w:r w:rsidR="0071210D">
        <w:t>gs</w:t>
      </w:r>
      <w:r>
        <w:t xml:space="preserve">verfahren vorausgesetzt. </w:t>
      </w:r>
    </w:p>
    <w:p w:rsidR="00A4398B" w:rsidRDefault="00A4398B" w:rsidP="002D6B22">
      <w:pPr>
        <w:pStyle w:val="Lauftext"/>
      </w:pPr>
      <w:r>
        <w:t>In den Geistes- und Sozialwissenschaften ist zudem zu vermerken, dass Sprache hier zwar analog zu den STM-Disziplinen als deskriptiver Träger von Informationen, aber darüber hinaus als Forschungsgegenstand und analyt</w:t>
      </w:r>
      <w:r>
        <w:t>i</w:t>
      </w:r>
      <w:r>
        <w:t xml:space="preserve">sches, interpretierendes Instrument fungiert, einhergehend mit den kulturellen Setzungen und Kontextualisierungen. Die unbekümmerte Verwendung einer </w:t>
      </w:r>
      <w:r w:rsidRPr="00752476">
        <w:rPr>
          <w:i/>
        </w:rPr>
        <w:t>Lingua Franca</w:t>
      </w:r>
      <w:r>
        <w:t xml:space="preserve"> wie dem Englisch</w:t>
      </w:r>
      <w:r w:rsidR="0071210D">
        <w:t>en</w:t>
      </w:r>
      <w:r>
        <w:t xml:space="preserve"> in den Naturwissenschaften stellt damit für die deutschsprachigen Wissenschaften selten eine Option dar, womit sich die potentiellen Absatzmärkte für Verlage als drastisch kleiner darstellen als in den STM-Feldern. Betrachten wir dann noch die geringere Verbreitungsdichte von Autoren und Verlagen in den jeweiligen Disziplinen, wird deutlich, we</w:t>
      </w:r>
      <w:r>
        <w:t>s</w:t>
      </w:r>
      <w:r>
        <w:t>halb die Passung von wissenschaftlichen Ergebnissen – vor allem in ihrer ausformulierten Langform als Monographie – mit dem optimalen Verbre</w:t>
      </w:r>
      <w:r>
        <w:t>i</w:t>
      </w:r>
      <w:r>
        <w:t xml:space="preserve">tungsorganen eine Herausforderung darstellt. </w:t>
      </w:r>
    </w:p>
    <w:p w:rsidR="004A2F86" w:rsidRDefault="00A4398B" w:rsidP="005E78CE">
      <w:pPr>
        <w:pStyle w:val="Lauftext"/>
      </w:pPr>
      <w:r>
        <w:t xml:space="preserve">Diese Herausforderung nehmen im deutschsprachigen Raum </w:t>
      </w:r>
      <w:r w:rsidRPr="008F3CD9">
        <w:t xml:space="preserve">vornehmlich </w:t>
      </w:r>
      <w:r w:rsidR="00A7274B">
        <w:t xml:space="preserve">die ca. 320 </w:t>
      </w:r>
      <w:r w:rsidRPr="008F3CD9">
        <w:t>national agierende</w:t>
      </w:r>
      <w:r w:rsidR="00A7274B">
        <w:t>n</w:t>
      </w:r>
      <w:r w:rsidRPr="008F3CD9">
        <w:t xml:space="preserve"> kleine</w:t>
      </w:r>
      <w:r w:rsidR="0071210D">
        <w:t>n</w:t>
      </w:r>
      <w:r w:rsidRPr="008F3CD9">
        <w:t xml:space="preserve"> und mittelständische</w:t>
      </w:r>
      <w:r w:rsidR="0071210D">
        <w:t>n</w:t>
      </w:r>
      <w:r w:rsidRPr="008F3CD9">
        <w:t xml:space="preserve"> Verlage</w:t>
      </w:r>
      <w:r>
        <w:t xml:space="preserve"> an, </w:t>
      </w:r>
      <w:r w:rsidRPr="008F3CD9">
        <w:t>die häufig auf enge Fachsegmente spezialisiert sind und dementsprechend geri</w:t>
      </w:r>
      <w:r w:rsidRPr="008F3CD9">
        <w:t>n</w:t>
      </w:r>
      <w:r w:rsidRPr="008F3CD9">
        <w:t xml:space="preserve">ges (ökonomisches) </w:t>
      </w:r>
      <w:r w:rsidR="006935D3">
        <w:t>Potenzial</w:t>
      </w:r>
      <w:r w:rsidRPr="008F3CD9">
        <w:t xml:space="preserve"> aufweisen, in neue Zugangsmodelle oder Publ</w:t>
      </w:r>
      <w:r w:rsidRPr="008F3CD9">
        <w:t>i</w:t>
      </w:r>
      <w:r w:rsidRPr="008F3CD9">
        <w:t xml:space="preserve">kationsinnovationen zu investieren. </w:t>
      </w:r>
      <w:r>
        <w:t>Ihnen gegenüber stehen die wenigen gr</w:t>
      </w:r>
      <w:r>
        <w:t>o</w:t>
      </w:r>
      <w:r>
        <w:t>ßen Marktführer, die vor allem über Zukäufe von kleiner</w:t>
      </w:r>
      <w:r w:rsidR="00980DBE">
        <w:t>en Mitbewerbern</w:t>
      </w:r>
      <w:r w:rsidR="00980DBE">
        <w:rPr>
          <w:rStyle w:val="Funotenzeichen"/>
        </w:rPr>
        <w:footnoteReference w:id="6"/>
      </w:r>
      <w:r w:rsidR="00980DBE">
        <w:t xml:space="preserve"> weiter wachsen</w:t>
      </w:r>
      <w:r>
        <w:t xml:space="preserve">. </w:t>
      </w:r>
      <w:r w:rsidR="004A2F86">
        <w:t>Unter den Top 100 Verlagen in der ersten Hälfte 2015 sah die Spitze laut „Buchreport“ wie folgt aus:</w:t>
      </w:r>
    </w:p>
    <w:p w:rsidR="004A2F86" w:rsidRPr="008F7643" w:rsidRDefault="005E78CE" w:rsidP="004A2F86">
      <w:pPr>
        <w:tabs>
          <w:tab w:val="left" w:pos="567"/>
        </w:tabs>
        <w:ind w:left="284"/>
        <w:rPr>
          <w:lang w:val="en-GB"/>
        </w:rPr>
      </w:pPr>
      <w:r>
        <w:rPr>
          <w:lang w:val="en-GB"/>
        </w:rPr>
        <w:t>1</w:t>
      </w:r>
      <w:r w:rsidR="004A2F86" w:rsidRPr="008F7643">
        <w:rPr>
          <w:lang w:val="en-GB"/>
        </w:rPr>
        <w:tab/>
        <w:t xml:space="preserve">Springer Science + Business Media, Berlin </w:t>
      </w:r>
      <w:r w:rsidR="004A2F86" w:rsidRPr="008F7643">
        <w:rPr>
          <w:lang w:val="en-GB"/>
        </w:rPr>
        <w:tab/>
      </w:r>
    </w:p>
    <w:p w:rsidR="004A2F86" w:rsidRPr="00B725F7" w:rsidRDefault="004A2F86" w:rsidP="004A2F86">
      <w:pPr>
        <w:tabs>
          <w:tab w:val="left" w:pos="567"/>
        </w:tabs>
        <w:ind w:left="284"/>
      </w:pPr>
      <w:r w:rsidRPr="00B725F7">
        <w:t>2</w:t>
      </w:r>
      <w:r w:rsidRPr="00B725F7">
        <w:tab/>
        <w:t xml:space="preserve">Klett-Gruppe, Stuttgart </w:t>
      </w:r>
    </w:p>
    <w:p w:rsidR="004A2F86" w:rsidRPr="00B725F7" w:rsidRDefault="004A2F86" w:rsidP="004A2F86">
      <w:pPr>
        <w:tabs>
          <w:tab w:val="left" w:pos="567"/>
        </w:tabs>
        <w:ind w:left="284"/>
      </w:pPr>
      <w:r w:rsidRPr="00B725F7">
        <w:t>3</w:t>
      </w:r>
      <w:r w:rsidRPr="00B725F7">
        <w:tab/>
        <w:t xml:space="preserve">Random House, München </w:t>
      </w:r>
    </w:p>
    <w:p w:rsidR="004A2F86" w:rsidRPr="00B725F7" w:rsidRDefault="004A2F86" w:rsidP="004A2F86">
      <w:pPr>
        <w:tabs>
          <w:tab w:val="left" w:pos="567"/>
        </w:tabs>
        <w:ind w:left="284"/>
      </w:pPr>
      <w:r w:rsidRPr="00B725F7">
        <w:t>4</w:t>
      </w:r>
      <w:r w:rsidRPr="00B725F7">
        <w:tab/>
        <w:t xml:space="preserve">Cornelsen Bildungsgruppe, Berlin </w:t>
      </w:r>
      <w:r w:rsidRPr="00B725F7">
        <w:tab/>
      </w:r>
    </w:p>
    <w:p w:rsidR="004A2F86" w:rsidRPr="00B725F7" w:rsidRDefault="004A2F86" w:rsidP="004A2F86">
      <w:pPr>
        <w:tabs>
          <w:tab w:val="left" w:pos="567"/>
        </w:tabs>
        <w:ind w:left="284"/>
      </w:pPr>
      <w:r w:rsidRPr="00B725F7">
        <w:t>5</w:t>
      </w:r>
      <w:r w:rsidRPr="00B725F7">
        <w:tab/>
        <w:t xml:space="preserve">Westermann Verlagsgruppe, Braunschweig </w:t>
      </w:r>
    </w:p>
    <w:p w:rsidR="004A2F86" w:rsidRPr="00B725F7" w:rsidRDefault="004A2F86" w:rsidP="004A2F86">
      <w:pPr>
        <w:tabs>
          <w:tab w:val="left" w:pos="567"/>
        </w:tabs>
        <w:ind w:left="284"/>
      </w:pPr>
      <w:r w:rsidRPr="00B725F7">
        <w:t>6</w:t>
      </w:r>
      <w:r w:rsidRPr="00B725F7">
        <w:tab/>
        <w:t xml:space="preserve">Haufe Gruppe, Freiburg </w:t>
      </w:r>
    </w:p>
    <w:p w:rsidR="004A2F86" w:rsidRPr="00B725F7" w:rsidRDefault="004A2F86" w:rsidP="004A2F86">
      <w:pPr>
        <w:tabs>
          <w:tab w:val="left" w:pos="567"/>
        </w:tabs>
        <w:ind w:left="284"/>
      </w:pPr>
      <w:r w:rsidRPr="00B725F7">
        <w:t>7</w:t>
      </w:r>
      <w:r w:rsidRPr="00B725F7">
        <w:tab/>
        <w:t>Wo</w:t>
      </w:r>
      <w:r w:rsidR="00744DA0">
        <w:t xml:space="preserve">lters Kluwer Deutschland, Köln </w:t>
      </w:r>
    </w:p>
    <w:p w:rsidR="004A2F86" w:rsidRPr="00A44C56" w:rsidRDefault="005E78CE" w:rsidP="004A2F86">
      <w:pPr>
        <w:tabs>
          <w:tab w:val="left" w:pos="567"/>
        </w:tabs>
        <w:ind w:left="284"/>
        <w:rPr>
          <w:lang w:val="en-US"/>
        </w:rPr>
      </w:pPr>
      <w:r w:rsidRPr="00A44C56">
        <w:rPr>
          <w:lang w:val="en-US"/>
        </w:rPr>
        <w:t>8</w:t>
      </w:r>
      <w:r w:rsidR="00744DA0" w:rsidRPr="00A44C56">
        <w:rPr>
          <w:lang w:val="en-US"/>
        </w:rPr>
        <w:tab/>
        <w:t xml:space="preserve">Weka Holding, Kissing </w:t>
      </w:r>
    </w:p>
    <w:p w:rsidR="004A2F86" w:rsidRPr="008F7643" w:rsidRDefault="005E78CE" w:rsidP="004A2F86">
      <w:pPr>
        <w:tabs>
          <w:tab w:val="left" w:pos="567"/>
        </w:tabs>
        <w:ind w:left="284"/>
        <w:rPr>
          <w:lang w:val="en-GB"/>
        </w:rPr>
      </w:pPr>
      <w:r>
        <w:rPr>
          <w:lang w:val="en-GB"/>
        </w:rPr>
        <w:t>9</w:t>
      </w:r>
      <w:r w:rsidR="00744DA0">
        <w:rPr>
          <w:lang w:val="en-GB"/>
        </w:rPr>
        <w:tab/>
        <w:t xml:space="preserve">C.H. Beck, </w:t>
      </w:r>
      <w:proofErr w:type="spellStart"/>
      <w:r w:rsidR="00744DA0">
        <w:rPr>
          <w:lang w:val="en-GB"/>
        </w:rPr>
        <w:t>München</w:t>
      </w:r>
      <w:proofErr w:type="spellEnd"/>
      <w:r w:rsidR="00744DA0">
        <w:rPr>
          <w:lang w:val="en-GB"/>
        </w:rPr>
        <w:t xml:space="preserve"> </w:t>
      </w:r>
    </w:p>
    <w:p w:rsidR="004A2F86" w:rsidRDefault="004A2F86" w:rsidP="004A2F86">
      <w:pPr>
        <w:tabs>
          <w:tab w:val="left" w:pos="567"/>
        </w:tabs>
        <w:ind w:left="284"/>
      </w:pPr>
      <w:r w:rsidRPr="00B725F7">
        <w:t xml:space="preserve">10 </w:t>
      </w:r>
      <w:r w:rsidRPr="00B725F7">
        <w:tab/>
        <w:t>dfv-Gruppe Deutsc</w:t>
      </w:r>
      <w:r>
        <w:t>her Fachverlag, Frankfurt a.M.</w:t>
      </w:r>
      <w:r>
        <w:tab/>
      </w:r>
    </w:p>
    <w:p w:rsidR="00A4398B" w:rsidRDefault="00A4398B" w:rsidP="00A44C56">
      <w:r>
        <w:t xml:space="preserve">Insgesamt wächst </w:t>
      </w:r>
      <w:r w:rsidR="00D37562">
        <w:t xml:space="preserve">weiterhin </w:t>
      </w:r>
      <w:r>
        <w:t>die Anzahl der wissenschaftlichen Neuersche</w:t>
      </w:r>
      <w:r>
        <w:t>i</w:t>
      </w:r>
      <w:r>
        <w:t xml:space="preserve">nungen (vgl. Geschäftsberichte der DNB 2013, 2014 und 2015), während die Verkaufspreise der Titel steigen und die Auflagenhöhen sinken (vgl. Greco und Wharton 2008). </w:t>
      </w:r>
      <w:r w:rsidRPr="008F3CD9">
        <w:t xml:space="preserve">Die </w:t>
      </w:r>
      <w:r w:rsidR="00E77012">
        <w:t>angespannte</w:t>
      </w:r>
      <w:r w:rsidRPr="008F3CD9">
        <w:t xml:space="preserve"> Etatsituation von wissenschaftlichen Einrichtungen und Förderern </w:t>
      </w:r>
      <w:r w:rsidR="00E77012">
        <w:t>verschärft</w:t>
      </w:r>
      <w:r w:rsidRPr="008F3CD9">
        <w:t xml:space="preserve"> den bereits bestehenden Auflagen- und Absatzrückgang noch weiter, sodass sich die laufende Literaturversorgung durch Bibliotheken für Publikationen aus diesen Disziplinen spürbar ve</w:t>
      </w:r>
      <w:r w:rsidRPr="008F3CD9">
        <w:t>r</w:t>
      </w:r>
      <w:r w:rsidRPr="008F3CD9">
        <w:t xml:space="preserve">schlechtert hat. </w:t>
      </w:r>
      <w:r>
        <w:t>Für Autoren bedeutet die skizzierte Situation, dass die Wah</w:t>
      </w:r>
      <w:r>
        <w:t>r</w:t>
      </w:r>
      <w:r>
        <w:t xml:space="preserve">scheinlichkeit sinkt, dass ihr Werk von Verlagen ins Programm genommen, von Bibliotheken erschlossen und von Kollegen rezipiert werden kann. </w:t>
      </w:r>
      <w:r w:rsidRPr="008F3CD9">
        <w:t>Ein Großteil der wissenschaftlichen Bücher, die sich vornehmlich an die Fachko</w:t>
      </w:r>
      <w:r w:rsidRPr="008F3CD9">
        <w:t>l</w:t>
      </w:r>
      <w:r w:rsidRPr="008F3CD9">
        <w:t xml:space="preserve">legen richten, muss </w:t>
      </w:r>
      <w:r>
        <w:t>außerdem</w:t>
      </w:r>
      <w:r w:rsidRPr="008F3CD9">
        <w:t xml:space="preserve"> </w:t>
      </w:r>
      <w:r>
        <w:t xml:space="preserve">autorenseitig </w:t>
      </w:r>
      <w:r w:rsidRPr="008F3CD9">
        <w:t xml:space="preserve">finanziert werden, weil die </w:t>
      </w:r>
      <w:r w:rsidR="00083273">
        <w:t>E</w:t>
      </w:r>
      <w:r w:rsidR="00083273">
        <w:t>r</w:t>
      </w:r>
      <w:r w:rsidR="00083273">
        <w:t>schließung neuer Absatzmärkte für Verlage kaum möglich ist</w:t>
      </w:r>
      <w:r w:rsidR="00083273" w:rsidRPr="008F3CD9">
        <w:t xml:space="preserve"> </w:t>
      </w:r>
      <w:r w:rsidR="00083273">
        <w:t>und</w:t>
      </w:r>
      <w:r w:rsidR="00083273" w:rsidRPr="008F3CD9">
        <w:t xml:space="preserve"> </w:t>
      </w:r>
      <w:r w:rsidRPr="008F3CD9">
        <w:t>Verkauf</w:t>
      </w:r>
      <w:r w:rsidRPr="008F3CD9">
        <w:t>s</w:t>
      </w:r>
      <w:r w:rsidRPr="008F3CD9">
        <w:t xml:space="preserve">einnahmen die Kosten der Produktion nicht decken. </w:t>
      </w:r>
    </w:p>
    <w:p w:rsidR="00E75226" w:rsidRPr="00707A92" w:rsidRDefault="00E77012" w:rsidP="00707A92">
      <w:pPr>
        <w:pStyle w:val="berschrift2"/>
        <w:spacing w:line="240" w:lineRule="exact"/>
        <w:rPr>
          <w:sz w:val="22"/>
          <w:szCs w:val="22"/>
        </w:rPr>
      </w:pPr>
      <w:r w:rsidRPr="00707A92">
        <w:rPr>
          <w:sz w:val="22"/>
          <w:szCs w:val="22"/>
        </w:rPr>
        <w:t>Spurensuche einer v</w:t>
      </w:r>
      <w:r w:rsidR="00E75226" w:rsidRPr="00707A92">
        <w:rPr>
          <w:sz w:val="22"/>
          <w:szCs w:val="22"/>
        </w:rPr>
        <w:t>erzögerte</w:t>
      </w:r>
      <w:r w:rsidRPr="00707A92">
        <w:rPr>
          <w:sz w:val="22"/>
          <w:szCs w:val="22"/>
        </w:rPr>
        <w:t>n</w:t>
      </w:r>
      <w:r w:rsidR="00E75226" w:rsidRPr="00707A92">
        <w:rPr>
          <w:sz w:val="22"/>
          <w:szCs w:val="22"/>
        </w:rPr>
        <w:t xml:space="preserve"> Entwicklung </w:t>
      </w:r>
    </w:p>
    <w:p w:rsidR="00A4398B" w:rsidRPr="008F3CD9" w:rsidRDefault="00A4398B" w:rsidP="00A44C56">
      <w:r w:rsidRPr="008F3CD9">
        <w:t xml:space="preserve">Auf der Nutzungsseite würde die etatbedingte Unterversorgung durch eine vermehrte </w:t>
      </w:r>
      <w:r>
        <w:t>Open-Access</w:t>
      </w:r>
      <w:r w:rsidRPr="008F3CD9">
        <w:t>-Bereitstellung abgefedert werden können. Tatsächlich aber ist in diesen Wissenschaftsbereichen weder eine angemessene Literatu</w:t>
      </w:r>
      <w:r w:rsidRPr="008F3CD9">
        <w:t>r</w:t>
      </w:r>
      <w:r w:rsidRPr="008F3CD9">
        <w:t>versorgung im Open Access noch eine schlagkräftige Entwicklung zu mehr Open-Access-Angeboten an Autoren und Herausgeber zu verzeichnen, o</w:t>
      </w:r>
      <w:r w:rsidRPr="008F3CD9">
        <w:t>b</w:t>
      </w:r>
      <w:r w:rsidRPr="008F3CD9">
        <w:t>wohl laut der SOAP-Studie</w:t>
      </w:r>
      <w:r>
        <w:rPr>
          <w:rStyle w:val="Funotenzeichen"/>
          <w:rFonts w:eastAsiaTheme="majorEastAsia"/>
        </w:rPr>
        <w:footnoteReference w:id="7"/>
      </w:r>
      <w:r w:rsidRPr="008F3CD9">
        <w:t xml:space="preserve"> </w:t>
      </w:r>
      <w:r w:rsidR="002D6B22">
        <w:t xml:space="preserve">schon 2011 </w:t>
      </w:r>
      <w:r w:rsidRPr="008F3CD9">
        <w:t>90</w:t>
      </w:r>
      <w:r w:rsidR="00744DA0">
        <w:t xml:space="preserve"> </w:t>
      </w:r>
      <w:r w:rsidRPr="008F3CD9">
        <w:t>% der befragten Sozialwisse</w:t>
      </w:r>
      <w:r w:rsidRPr="008F3CD9">
        <w:t>n</w:t>
      </w:r>
      <w:r w:rsidRPr="008F3CD9">
        <w:t>schaftler konstatierten, dass ihre Disziplinen von mehr Open Access profiti</w:t>
      </w:r>
      <w:r w:rsidRPr="008F3CD9">
        <w:t>e</w:t>
      </w:r>
      <w:r w:rsidRPr="008F3CD9">
        <w:t xml:space="preserve">ren würden. </w:t>
      </w:r>
      <w:r w:rsidRPr="00744DA0">
        <w:t xml:space="preserve">Es verwundert daher nicht, dass erst Ende Januar 2013 die </w:t>
      </w:r>
      <w:r w:rsidR="0071210D" w:rsidRPr="00744DA0">
        <w:t xml:space="preserve">sich immer noch im konsolidierenden Projektstadium befindende </w:t>
      </w:r>
      <w:r w:rsidRPr="00744DA0">
        <w:t>„Open Library for Humanities</w:t>
      </w:r>
      <w:r w:rsidRPr="00744DA0">
        <w:rPr>
          <w:rStyle w:val="Funotenzeichen"/>
          <w:rFonts w:eastAsiaTheme="majorEastAsia"/>
        </w:rPr>
        <w:footnoteReference w:id="8"/>
      </w:r>
      <w:r w:rsidRPr="00744DA0">
        <w:t>“ als Pendant zur seit 2003 erfolgreichen „Public Library of Science“ gegründet wurde.</w:t>
      </w:r>
      <w:r w:rsidRPr="008F3CD9">
        <w:t xml:space="preserve"> Wollte man dies als Beispiel für einen 1:1-Vergleich heranziehen, müssten wir beim Durchdringungsgrad von Open Access zwischen den Naturwissenschaften und den Geistes- und Sozialwi</w:t>
      </w:r>
      <w:r w:rsidRPr="008F3CD9">
        <w:t>s</w:t>
      </w:r>
      <w:r w:rsidRPr="008F3CD9">
        <w:t xml:space="preserve">senschaften eine Entwicklungsverzögerung von gut zehn Jahren feststellen. </w:t>
      </w:r>
    </w:p>
    <w:p w:rsidR="00A4398B" w:rsidRPr="008F3CD9" w:rsidRDefault="00A4398B" w:rsidP="00BF510F">
      <w:pPr>
        <w:pStyle w:val="Lauftext"/>
      </w:pPr>
      <w:r w:rsidRPr="008F3CD9">
        <w:t>Die Gründe für diese Verzögerung sind vielschichtig</w:t>
      </w:r>
      <w:r w:rsidR="00083273">
        <w:t xml:space="preserve"> und beziehen sich nicht nur auf die Bereitstellung</w:t>
      </w:r>
      <w:r w:rsidR="00236830">
        <w:t>,</w:t>
      </w:r>
      <w:r w:rsidR="00083273">
        <w:t xml:space="preserve"> sondern auch auf die digitale Natur an sich</w:t>
      </w:r>
      <w:r w:rsidRPr="008F3CD9">
        <w:t>. Der gewichtigste Grund ist unserer Meinung nach, dass der Wechsel des Ve</w:t>
      </w:r>
      <w:r w:rsidRPr="008F3CD9">
        <w:t>r</w:t>
      </w:r>
      <w:r w:rsidRPr="008F3CD9">
        <w:t>breitungsmediums von Print zu Online für das Kommunikationsmedium Zei</w:t>
      </w:r>
      <w:r w:rsidRPr="008F3CD9">
        <w:t>t</w:t>
      </w:r>
      <w:r w:rsidRPr="008F3CD9">
        <w:t xml:space="preserve">schrift </w:t>
      </w:r>
      <w:r>
        <w:t xml:space="preserve">und seiner unselbständigen Einheit „Artikel“ </w:t>
      </w:r>
      <w:r w:rsidRPr="008F3CD9">
        <w:t xml:space="preserve">mit weniger technischen und konzeptuellen Brüchen </w:t>
      </w:r>
      <w:r>
        <w:t>verlief</w:t>
      </w:r>
      <w:r w:rsidRPr="008F3CD9">
        <w:t>, als dies bei Büchern der Fall ist, etwa beim Leseverhalten, dem Reputationsgewinn oder den Speicherkonzepten. Sind die Marktakteure zudem noch wenig beweglich – sei es aus ökonom</w:t>
      </w:r>
      <w:r w:rsidRPr="008F3CD9">
        <w:t>i</w:t>
      </w:r>
      <w:r w:rsidRPr="008F3CD9">
        <w:t>schen oder identifikatorischen Gründen – wird auf der Angebotsseite wenig Wandel stattfinden. Wo es wenig anerkannte Literatur in der Onlinebereitste</w:t>
      </w:r>
      <w:r w:rsidRPr="008F3CD9">
        <w:t>l</w:t>
      </w:r>
      <w:r w:rsidRPr="008F3CD9">
        <w:t>lung gibt, wird dementsprechend die Akzeptanz für das Neue und Ungewoh</w:t>
      </w:r>
      <w:r w:rsidRPr="008F3CD9">
        <w:t>n</w:t>
      </w:r>
      <w:r w:rsidRPr="008F3CD9">
        <w:t xml:space="preserve">te gering bleiben. Paradoxerweise sind die meisten Autoren und Herausgeber in den Geistes- und Sozialwissenschaften gewohnt, dass sie </w:t>
      </w:r>
      <w:r>
        <w:t>den Verlagen publikationsreife „camera-ready“ Manuskripte abzuliefern haben</w:t>
      </w:r>
      <w:r w:rsidR="00083273">
        <w:rPr>
          <w:rStyle w:val="Funotenzeichen"/>
        </w:rPr>
        <w:footnoteReference w:id="9"/>
      </w:r>
      <w:r w:rsidRPr="008F3CD9">
        <w:t xml:space="preserve"> </w:t>
      </w:r>
      <w:r>
        <w:t>und</w:t>
      </w:r>
      <w:r w:rsidRPr="008F3CD9">
        <w:t xml:space="preserve"> über Druckkostenzuschüsse erhebliche Beiträge zur Finanzierung ihrer Buchpr</w:t>
      </w:r>
      <w:r w:rsidRPr="008F3CD9">
        <w:t>o</w:t>
      </w:r>
      <w:r w:rsidRPr="008F3CD9">
        <w:t>jekte leisten müssen. Die Erfahrungen aus dem OAPEN-Projekt</w:t>
      </w:r>
      <w:r>
        <w:rPr>
          <w:rStyle w:val="Funotenzeichen"/>
          <w:rFonts w:eastAsiaTheme="majorEastAsia"/>
        </w:rPr>
        <w:footnoteReference w:id="10"/>
      </w:r>
      <w:r w:rsidRPr="008F3CD9">
        <w:t xml:space="preserve"> legen nahe, dass diese Zuschüsse das ökonomische Risiko von Verlagen vor allem bei spezialisierter Literatur für die </w:t>
      </w:r>
      <w:r w:rsidR="0071210D">
        <w:t xml:space="preserve">wissenschaftliche </w:t>
      </w:r>
      <w:r w:rsidRPr="008F3CD9">
        <w:t xml:space="preserve">Kommunikation vollständig auf die </w:t>
      </w:r>
      <w:r w:rsidR="00083273">
        <w:t>Urheber</w:t>
      </w:r>
      <w:r w:rsidRPr="008F3CD9">
        <w:t xml:space="preserve"> </w:t>
      </w:r>
      <w:r>
        <w:t>verlagern</w:t>
      </w:r>
      <w:r w:rsidRPr="008F3CD9">
        <w:t>. Dennoch bleibt es bei den meisten Buchprojekten in kommerziellen Verlagen dabei, dass der Verlag die ausschließlichen Nu</w:t>
      </w:r>
      <w:r w:rsidRPr="008F3CD9">
        <w:t>t</w:t>
      </w:r>
      <w:r w:rsidRPr="008F3CD9">
        <w:t>zungsrechte erhält, allenfalls zögerlich kommerzielle E-Book-Angebote u</w:t>
      </w:r>
      <w:r w:rsidRPr="008F3CD9">
        <w:t>m</w:t>
      </w:r>
      <w:r w:rsidRPr="008F3CD9">
        <w:t xml:space="preserve">setzt und vorwiegend auf den Vertrieb als kostenpflichtige Druckversion setzt. Zudem sind in diesen Fachgebieten von Autoren, Herausgebern und Verlagen teils erhebliche und ideologisch begründete Vorbehalte gegenüber </w:t>
      </w:r>
      <w:r>
        <w:t xml:space="preserve">innovativen Ansätzen wie </w:t>
      </w:r>
      <w:r w:rsidRPr="008F3CD9">
        <w:t xml:space="preserve">Open Access zu verzeichnen, </w:t>
      </w:r>
      <w:r>
        <w:t>auch wenn man die Vorteile für die Leserschaft anerkennt.</w:t>
      </w:r>
      <w:r>
        <w:rPr>
          <w:rStyle w:val="Funotenzeichen"/>
        </w:rPr>
        <w:footnoteReference w:id="11"/>
      </w:r>
    </w:p>
    <w:p w:rsidR="00E75226" w:rsidRPr="00707A92" w:rsidRDefault="00E75226" w:rsidP="00707A92">
      <w:pPr>
        <w:pStyle w:val="berschrift2"/>
        <w:spacing w:line="240" w:lineRule="exact"/>
        <w:rPr>
          <w:sz w:val="22"/>
          <w:szCs w:val="22"/>
        </w:rPr>
      </w:pPr>
      <w:r w:rsidRPr="00707A92">
        <w:rPr>
          <w:sz w:val="22"/>
          <w:szCs w:val="22"/>
        </w:rPr>
        <w:t>Monographien und digitale Forschungsmethoden</w:t>
      </w:r>
    </w:p>
    <w:p w:rsidR="00A7274B" w:rsidRDefault="003E7252" w:rsidP="00405D1A">
      <w:r>
        <w:rPr>
          <w:noProof/>
        </w:rPr>
        <w:drawing>
          <wp:anchor distT="0" distB="0" distL="114300" distR="114300" simplePos="0" relativeHeight="251661312" behindDoc="1" locked="0" layoutInCell="1" allowOverlap="1">
            <wp:simplePos x="0" y="0"/>
            <wp:positionH relativeFrom="column">
              <wp:posOffset>2322830</wp:posOffset>
            </wp:positionH>
            <wp:positionV relativeFrom="paragraph">
              <wp:posOffset>2468880</wp:posOffset>
            </wp:positionV>
            <wp:extent cx="1962150" cy="1367155"/>
            <wp:effectExtent l="0" t="0" r="0" b="4445"/>
            <wp:wrapTight wrapText="bothSides">
              <wp:wrapPolygon edited="1">
                <wp:start x="0" y="0"/>
                <wp:lineTo x="0" y="25029"/>
                <wp:lineTo x="21600" y="24257"/>
                <wp:lineTo x="2150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k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2150" cy="1367155"/>
                    </a:xfrm>
                    <a:prstGeom prst="rect">
                      <a:avLst/>
                    </a:prstGeom>
                  </pic:spPr>
                </pic:pic>
              </a:graphicData>
            </a:graphic>
          </wp:anchor>
        </w:drawing>
      </w:r>
      <w:r w:rsidR="00405D1A">
        <w:t xml:space="preserve">Nicht </w:t>
      </w:r>
      <w:r w:rsidR="00083273">
        <w:t>nur unter dem</w:t>
      </w:r>
      <w:r w:rsidR="00405D1A">
        <w:t xml:space="preserve"> Begriff der „Digital Humanities“ </w:t>
      </w:r>
      <w:r w:rsidR="00405D1A" w:rsidRPr="002D02D5">
        <w:t xml:space="preserve">werden </w:t>
      </w:r>
      <w:r w:rsidR="00A4398B" w:rsidRPr="002D02D5">
        <w:t>in den Geistes- und Gesellschaftswissenschaften zunehmend digitale Methoden und Daten verwendet</w:t>
      </w:r>
      <w:r w:rsidR="001258EB">
        <w:t xml:space="preserve"> – ‚Digitalität‘ ist zu einem zentralen Bestandteil von Kultur und Gesellschaft geworden</w:t>
      </w:r>
      <w:r w:rsidR="00A4398B" w:rsidRPr="002D02D5">
        <w:t xml:space="preserve">. Hierzu gehören zum Beispiel </w:t>
      </w:r>
      <w:r w:rsidR="001258EB">
        <w:t>digitale kulturelle O</w:t>
      </w:r>
      <w:r w:rsidR="001258EB">
        <w:t>b</w:t>
      </w:r>
      <w:r w:rsidR="001258EB">
        <w:t xml:space="preserve">jekte und Kunstwerke, </w:t>
      </w:r>
      <w:r w:rsidR="00A4398B" w:rsidRPr="002D02D5">
        <w:t>digitale Vokabularien, digitale Editionen</w:t>
      </w:r>
      <w:r w:rsidR="00083273">
        <w:t>,</w:t>
      </w:r>
      <w:r w:rsidR="00405D1A">
        <w:t xml:space="preserve"> </w:t>
      </w:r>
      <w:r w:rsidR="00083273">
        <w:t>Quellenst</w:t>
      </w:r>
      <w:r w:rsidR="00083273">
        <w:t>u</w:t>
      </w:r>
      <w:r w:rsidR="00083273">
        <w:t>dien auf Basis</w:t>
      </w:r>
      <w:r w:rsidR="00405D1A">
        <w:t xml:space="preserve"> hochauflösender Retrodigitalisate</w:t>
      </w:r>
      <w:r w:rsidR="00A4398B" w:rsidRPr="002D02D5">
        <w:t xml:space="preserve">, </w:t>
      </w:r>
      <w:r w:rsidR="00405D1A">
        <w:t xml:space="preserve">umfangreiche </w:t>
      </w:r>
      <w:r w:rsidR="00A4398B" w:rsidRPr="002D02D5">
        <w:t>Corpora, ge</w:t>
      </w:r>
      <w:r w:rsidR="00A4398B" w:rsidRPr="002D02D5">
        <w:t>o</w:t>
      </w:r>
      <w:r w:rsidR="00A4398B" w:rsidRPr="002D02D5">
        <w:t>referenzierte Vi</w:t>
      </w:r>
      <w:r w:rsidR="000C65EB">
        <w:t>sualisierungen (Gazeteers), 3-D-</w:t>
      </w:r>
      <w:r w:rsidR="00A4398B" w:rsidRPr="002D02D5">
        <w:t xml:space="preserve">Modelle, </w:t>
      </w:r>
      <w:r w:rsidR="00405D1A">
        <w:t xml:space="preserve">durchsuchbare </w:t>
      </w:r>
      <w:r w:rsidR="00A4398B" w:rsidRPr="002D02D5">
        <w:t>I</w:t>
      </w:r>
      <w:r w:rsidR="00A4398B" w:rsidRPr="002D02D5">
        <w:t>n</w:t>
      </w:r>
      <w:r w:rsidR="00A4398B" w:rsidRPr="002D02D5">
        <w:t>terview</w:t>
      </w:r>
      <w:r w:rsidR="00405D1A">
        <w:t>s</w:t>
      </w:r>
      <w:r w:rsidR="00A4398B" w:rsidRPr="002D02D5">
        <w:t xml:space="preserve">, </w:t>
      </w:r>
      <w:r w:rsidR="00405D1A">
        <w:t>visuali</w:t>
      </w:r>
      <w:r w:rsidR="002E2636">
        <w:t>si</w:t>
      </w:r>
      <w:r w:rsidR="00405D1A">
        <w:t xml:space="preserve">erte </w:t>
      </w:r>
      <w:r w:rsidR="00A4398B" w:rsidRPr="002D02D5">
        <w:t xml:space="preserve">soziale Netzwerke, </w:t>
      </w:r>
      <w:r w:rsidR="00405D1A">
        <w:t>die entsprechende</w:t>
      </w:r>
      <w:r w:rsidR="001258EB">
        <w:t>n Infrastrukturen und Forschungsumgebungen sowie die</w:t>
      </w:r>
      <w:r w:rsidR="00405D1A">
        <w:t xml:space="preserve"> </w:t>
      </w:r>
      <w:r w:rsidR="00A4398B" w:rsidRPr="002D02D5">
        <w:t xml:space="preserve">Software </w:t>
      </w:r>
      <w:r w:rsidR="00405D1A">
        <w:t xml:space="preserve">für die genannten Methoden </w:t>
      </w:r>
      <w:r w:rsidR="00A4398B" w:rsidRPr="002D02D5">
        <w:t xml:space="preserve">und statistische Daten. </w:t>
      </w:r>
      <w:r w:rsidR="00450356">
        <w:t xml:space="preserve">Von ihrer technischen Komplexität her lassen sich diese </w:t>
      </w:r>
      <w:r w:rsidR="001258EB">
        <w:t xml:space="preserve">Objekte und </w:t>
      </w:r>
      <w:r w:rsidR="00450356">
        <w:t xml:space="preserve">Methoden nicht </w:t>
      </w:r>
      <w:r w:rsidR="00450356" w:rsidRPr="002970ED">
        <w:rPr>
          <w:i/>
        </w:rPr>
        <w:t>en passant</w:t>
      </w:r>
      <w:r w:rsidR="00450356">
        <w:t xml:space="preserve"> in beliebige Forschungsprojekte </w:t>
      </w:r>
      <w:r w:rsidR="001258EB">
        <w:t xml:space="preserve">und Publikationen </w:t>
      </w:r>
      <w:r w:rsidR="00450356">
        <w:t xml:space="preserve">einbinden, sondern </w:t>
      </w:r>
      <w:r w:rsidR="003B6369">
        <w:t xml:space="preserve">verlangen </w:t>
      </w:r>
      <w:r w:rsidR="00450356">
        <w:t xml:space="preserve">eine </w:t>
      </w:r>
      <w:r w:rsidR="00405D1A">
        <w:t xml:space="preserve">entsprechende </w:t>
      </w:r>
      <w:r w:rsidR="00450356">
        <w:t>Formuli</w:t>
      </w:r>
      <w:r w:rsidR="00450356">
        <w:t>e</w:t>
      </w:r>
      <w:r w:rsidR="00450356">
        <w:t>rung der Forschungsfragen, deren Operationalisierung, Bearbeitung und Au</w:t>
      </w:r>
      <w:r w:rsidR="00450356">
        <w:t>s</w:t>
      </w:r>
      <w:r w:rsidR="00450356">
        <w:t xml:space="preserve">wertung, </w:t>
      </w:r>
      <w:r w:rsidR="00405D1A">
        <w:t xml:space="preserve">die hohe Kompetenz </w:t>
      </w:r>
      <w:r w:rsidR="00752476">
        <w:t>erfordern</w:t>
      </w:r>
      <w:r w:rsidR="00405D1A">
        <w:t xml:space="preserve">. Nicht immer können die </w:t>
      </w:r>
      <w:r w:rsidR="002E2636">
        <w:t xml:space="preserve">auf diese Weise </w:t>
      </w:r>
      <w:r w:rsidR="00980DBE">
        <w:t>Forschenden alle Kompetenzen selbst mitbringen, sondern sind auf Kompetenzen und vor allem Ressourcen Dritter angewiesen – ein Spannung</w:t>
      </w:r>
      <w:r w:rsidR="00980DBE">
        <w:t>s</w:t>
      </w:r>
      <w:r w:rsidR="00980DBE">
        <w:t xml:space="preserve">feld, das sich für die Autoren einer im Druck erscheinenden Monographie so nicht ergibt. </w:t>
      </w:r>
      <w:r w:rsidR="00405D1A">
        <w:t xml:space="preserve">Die </w:t>
      </w:r>
      <w:r w:rsidR="00980DBE">
        <w:t xml:space="preserve">Bandbreite der digitalen Möglichkeiten </w:t>
      </w:r>
      <w:r w:rsidR="00405D1A">
        <w:t>wiederum bring</w:t>
      </w:r>
      <w:r w:rsidR="00980DBE">
        <w:t>t</w:t>
      </w:r>
      <w:r w:rsidR="00405D1A">
        <w:t xml:space="preserve"> die Fo</w:t>
      </w:r>
      <w:r w:rsidR="00405D1A">
        <w:t>r</w:t>
      </w:r>
      <w:r w:rsidR="00405D1A">
        <w:t xml:space="preserve">schenden in </w:t>
      </w:r>
      <w:r w:rsidR="00980DBE">
        <w:t>das</w:t>
      </w:r>
      <w:r w:rsidR="00405D1A">
        <w:t xml:space="preserve"> Dilemma, dass eigen</w:t>
      </w:r>
      <w:r w:rsidR="00405D1A">
        <w:t>t</w:t>
      </w:r>
      <w:r w:rsidR="00405D1A">
        <w:t>lich alles denkbare auf digitaler Eb</w:t>
      </w:r>
      <w:r w:rsidR="00405D1A">
        <w:t>e</w:t>
      </w:r>
      <w:r w:rsidR="00405D1A">
        <w:t xml:space="preserve">ne umgesetzt werden könnte, aber </w:t>
      </w:r>
      <w:r w:rsidR="00B31A74">
        <w:t>beso</w:t>
      </w:r>
      <w:r w:rsidR="00B31A74">
        <w:t>n</w:t>
      </w:r>
      <w:r w:rsidR="00B31A74">
        <w:t xml:space="preserve">ders </w:t>
      </w:r>
      <w:r>
        <w:t xml:space="preserve">im Zustand der Abhängigkeit von Ressourcen Dritter </w:t>
      </w:r>
      <w:r w:rsidR="00405D1A">
        <w:t>nur unter Vernachlä</w:t>
      </w:r>
      <w:r w:rsidR="00405D1A">
        <w:t>s</w:t>
      </w:r>
      <w:r w:rsidR="00405D1A">
        <w:t>sigung einer der Aspekte „unaufwä</w:t>
      </w:r>
      <w:r w:rsidR="00405D1A">
        <w:t>n</w:t>
      </w:r>
      <w:r w:rsidR="00405D1A">
        <w:t>dig“, „schnell“ oder „sorgfältig“</w:t>
      </w:r>
      <w:r>
        <w:rPr>
          <w:rStyle w:val="Funotenzeichen"/>
        </w:rPr>
        <w:footnoteReference w:id="12"/>
      </w:r>
      <w:r>
        <w:t>.</w:t>
      </w:r>
      <w:r w:rsidR="00405D1A">
        <w:t xml:space="preserve"> </w:t>
      </w:r>
    </w:p>
    <w:p w:rsidR="00A7274B" w:rsidRDefault="00BF510F" w:rsidP="00A7274B">
      <w:pPr>
        <w:pStyle w:val="Lauftext"/>
      </w:pPr>
      <w:r>
        <w:t>Theoretisch lie</w:t>
      </w:r>
      <w:r w:rsidR="00083273">
        <w:t>ßen sich die genannten</w:t>
      </w:r>
      <w:r>
        <w:t xml:space="preserve"> </w:t>
      </w:r>
      <w:r w:rsidR="00A7274B">
        <w:t>digitalen Funktionalitäten</w:t>
      </w:r>
      <w:r>
        <w:t xml:space="preserve"> auch in einer verlagsverantworteten Version veröffentlichen, die als Datenträger oder Online-Medium vertrieben würde. In der Realität ist jedoch die Überführung in die volle digitale Funktionalität im Bereich der wissenschaftlichen Ko</w:t>
      </w:r>
      <w:r>
        <w:t>m</w:t>
      </w:r>
      <w:r>
        <w:t>munikation weiterhin die Ausnahme. Die Konvertierung in XML, HTML oder epub kann so gut wie nie rein automatisiert erfolgen, wodurch sich für Produ</w:t>
      </w:r>
      <w:r>
        <w:t>k</w:t>
      </w:r>
      <w:r>
        <w:t xml:space="preserve">te mit geringer Absatzchance </w:t>
      </w:r>
      <w:r w:rsidR="001258EB">
        <w:t xml:space="preserve">zum einen </w:t>
      </w:r>
      <w:r>
        <w:t>die Herausforderung der Gegenfina</w:t>
      </w:r>
      <w:r>
        <w:t>n</w:t>
      </w:r>
      <w:r>
        <w:t>zierung für die manuellen Aufwände ergibt</w:t>
      </w:r>
      <w:r w:rsidR="001258EB">
        <w:t>. Zum anderen können die entspr</w:t>
      </w:r>
      <w:r w:rsidR="001258EB">
        <w:t>e</w:t>
      </w:r>
      <w:r w:rsidR="001258EB">
        <w:t>chenden komplexen und ausdiversifizierten Kompetenzen beim Umgang mit digitalen Forschungsressourcen gerade in kleineren Verlagen kaum vorgeha</w:t>
      </w:r>
      <w:r w:rsidR="001258EB">
        <w:t>l</w:t>
      </w:r>
      <w:r w:rsidR="001258EB">
        <w:t>ten werden, so dass eine neue Kooperationskultur zwischen Verlagen und Wissenschaft im Hinblick auf digitale Publikationsformen entwickelt werden müsste</w:t>
      </w:r>
      <w:r>
        <w:t xml:space="preserve">. Deshalb bleibt es </w:t>
      </w:r>
      <w:r w:rsidR="001258EB">
        <w:t xml:space="preserve">bislang </w:t>
      </w:r>
      <w:r>
        <w:t xml:space="preserve">in der Regel bei der PDF-Erstellung und beim Gros der deutschsprachigen Verlage für die Geisteswissenschaften bei der Verbreitung als gedrucktes Werk. </w:t>
      </w:r>
      <w:r w:rsidR="00450356">
        <w:t>Die auf digitalen</w:t>
      </w:r>
      <w:r w:rsidR="00A4398B" w:rsidRPr="002D02D5">
        <w:t xml:space="preserve"> Methoden und Daten basierende</w:t>
      </w:r>
      <w:r w:rsidR="004319F1">
        <w:t>n</w:t>
      </w:r>
      <w:r w:rsidR="00A4398B" w:rsidRPr="002D02D5">
        <w:t xml:space="preserve"> Erkenntnisse und Forschungsergebnisse </w:t>
      </w:r>
      <w:r w:rsidR="00450356">
        <w:t>werden damit</w:t>
      </w:r>
      <w:r w:rsidR="00A4398B" w:rsidRPr="002D02D5">
        <w:t xml:space="preserve"> </w:t>
      </w:r>
      <w:r w:rsidR="001258EB">
        <w:t xml:space="preserve">(nicht nur im Hinblick auf Umfänge) </w:t>
      </w:r>
      <w:r w:rsidR="00A4398B" w:rsidRPr="002D02D5">
        <w:t>auf druckbare Text- und Bildformate begrenzt</w:t>
      </w:r>
      <w:r w:rsidR="00450356">
        <w:t>, die sich in den zwei Dimensionen eines PDFs oder Blatt</w:t>
      </w:r>
      <w:r w:rsidR="00733191">
        <w:t>es</w:t>
      </w:r>
      <w:r w:rsidR="00450356">
        <w:t xml:space="preserve"> Papier darstellen la</w:t>
      </w:r>
      <w:r w:rsidR="00450356">
        <w:t>s</w:t>
      </w:r>
      <w:r w:rsidR="00450356">
        <w:t>sen</w:t>
      </w:r>
      <w:r w:rsidR="00A4398B" w:rsidRPr="002D02D5">
        <w:t>. Dies schränkt die direkte Nachvollziehbarkeit der Forschung ein</w:t>
      </w:r>
      <w:r w:rsidR="002E2636">
        <w:t>, verhi</w:t>
      </w:r>
      <w:r w:rsidR="002E2636">
        <w:t>n</w:t>
      </w:r>
      <w:r w:rsidR="002E2636">
        <w:t>dert eine dem Wissen angemessene Mediennutzung</w:t>
      </w:r>
      <w:r w:rsidR="00083273">
        <w:t xml:space="preserve"> und verschenkt ihr </w:t>
      </w:r>
      <w:r w:rsidR="006935D3">
        <w:t>Pote</w:t>
      </w:r>
      <w:r w:rsidR="006935D3">
        <w:t>n</w:t>
      </w:r>
      <w:r w:rsidR="006935D3">
        <w:t>zial</w:t>
      </w:r>
      <w:r w:rsidR="00083273">
        <w:t xml:space="preserve"> der digital vermittelten </w:t>
      </w:r>
      <w:r w:rsidR="00F01DC1">
        <w:t xml:space="preserve">Weitergabe und </w:t>
      </w:r>
      <w:r w:rsidR="00083273">
        <w:t>Aneignung</w:t>
      </w:r>
      <w:r w:rsidR="00A4398B" w:rsidRPr="002D02D5">
        <w:t>.</w:t>
      </w:r>
      <w:r w:rsidR="00F01DC1">
        <w:t xml:space="preserve"> Letztlich kann diese eingeschränkte Publikationskultur dem Phänomen ‚Digitalität‘ nicht gerecht werden, so dass das </w:t>
      </w:r>
      <w:r w:rsidR="006935D3">
        <w:t>Potenzial</w:t>
      </w:r>
      <w:r w:rsidR="00F01DC1">
        <w:t xml:space="preserve"> geistes- und sozialwissenschaftlicher Forschung für Wissenschaft und Gesellschaft nicht </w:t>
      </w:r>
      <w:r w:rsidR="004D14D1">
        <w:t xml:space="preserve">ausreichend </w:t>
      </w:r>
      <w:r w:rsidR="00F01DC1">
        <w:t>sichtbar wird und nicht ausgeschöpft werden kann</w:t>
      </w:r>
      <w:r w:rsidR="00E77012">
        <w:t>.</w:t>
      </w:r>
    </w:p>
    <w:p w:rsidR="00A7274B" w:rsidRPr="00707A92" w:rsidRDefault="00A7274B" w:rsidP="00707A92">
      <w:pPr>
        <w:pStyle w:val="berschrift2"/>
        <w:spacing w:line="240" w:lineRule="exact"/>
        <w:rPr>
          <w:sz w:val="22"/>
          <w:szCs w:val="22"/>
        </w:rPr>
      </w:pPr>
      <w:r w:rsidRPr="00707A92">
        <w:rPr>
          <w:sz w:val="22"/>
          <w:szCs w:val="22"/>
        </w:rPr>
        <w:t>Forschungsleistung jenseits des Textes</w:t>
      </w:r>
    </w:p>
    <w:p w:rsidR="00733191" w:rsidRDefault="00A4398B" w:rsidP="00A7274B">
      <w:r w:rsidRPr="002D02D5">
        <w:t xml:space="preserve">Zugleich </w:t>
      </w:r>
      <w:r w:rsidR="00450356">
        <w:t>m</w:t>
      </w:r>
      <w:r w:rsidR="004D14D1">
        <w:t>ü</w:t>
      </w:r>
      <w:r w:rsidR="00450356">
        <w:t>ss</w:t>
      </w:r>
      <w:r w:rsidR="004D14D1">
        <w:t>en</w:t>
      </w:r>
      <w:r w:rsidRPr="002D02D5">
        <w:t xml:space="preserve"> auch die </w:t>
      </w:r>
      <w:r w:rsidR="00083273">
        <w:t>Formulierung von Forschungsansätzen unter dem Digital Humanities</w:t>
      </w:r>
      <w:r w:rsidR="00843077">
        <w:t>-</w:t>
      </w:r>
      <w:r w:rsidR="00083273">
        <w:t xml:space="preserve">Paradigma, die </w:t>
      </w:r>
      <w:r w:rsidRPr="002D02D5">
        <w:t xml:space="preserve">Erstellung </w:t>
      </w:r>
      <w:r w:rsidR="00083273">
        <w:t>von</w:t>
      </w:r>
      <w:r w:rsidRPr="002D02D5">
        <w:t xml:space="preserve"> Forschungsprimär</w:t>
      </w:r>
      <w:r w:rsidR="00E75226">
        <w:t>- und die Kuratierung von Sekundär</w:t>
      </w:r>
      <w:r w:rsidRPr="002D02D5">
        <w:t xml:space="preserve">daten </w:t>
      </w:r>
      <w:r w:rsidR="00E75226">
        <w:t>sowie die Entwicklung von</w:t>
      </w:r>
      <w:r w:rsidRPr="002D02D5">
        <w:t xml:space="preserve"> Werkzeuge</w:t>
      </w:r>
      <w:r w:rsidR="00E75226">
        <w:t>n und ihre Optimierung im Fortgang der Forschung</w:t>
      </w:r>
      <w:r w:rsidRPr="002D02D5">
        <w:t xml:space="preserve"> als wichtiger Teil de</w:t>
      </w:r>
      <w:r w:rsidR="00E75226">
        <w:t>s</w:t>
      </w:r>
      <w:r w:rsidRPr="002D02D5">
        <w:t xml:space="preserve"> </w:t>
      </w:r>
      <w:r w:rsidR="00E75226">
        <w:t>publizie</w:t>
      </w:r>
      <w:r w:rsidR="00E75226">
        <w:t>r</w:t>
      </w:r>
      <w:r w:rsidR="00E75226">
        <w:t>fähigen Forschungsergebnis</w:t>
      </w:r>
      <w:r w:rsidR="00843077">
        <w:t>ses</w:t>
      </w:r>
      <w:r w:rsidRPr="002D02D5">
        <w:t xml:space="preserve"> ange</w:t>
      </w:r>
      <w:r w:rsidR="00450356">
        <w:t>messen</w:t>
      </w:r>
      <w:r w:rsidRPr="002D02D5">
        <w:t xml:space="preserve"> </w:t>
      </w:r>
      <w:r w:rsidR="00450356">
        <w:t xml:space="preserve">gewürdigt </w:t>
      </w:r>
      <w:r w:rsidRPr="002D02D5">
        <w:t xml:space="preserve">werden, die </w:t>
      </w:r>
      <w:r w:rsidR="004D14D1">
        <w:t xml:space="preserve">bislang </w:t>
      </w:r>
      <w:r w:rsidRPr="002D02D5">
        <w:t xml:space="preserve">in der Monographie nicht offiziell referenziert </w:t>
      </w:r>
      <w:r w:rsidR="00E75226">
        <w:t>werden k</w:t>
      </w:r>
      <w:r w:rsidR="004D14D1">
        <w:t>ö</w:t>
      </w:r>
      <w:r w:rsidR="00E75226">
        <w:t>nn</w:t>
      </w:r>
      <w:r w:rsidR="004D14D1">
        <w:t>en</w:t>
      </w:r>
      <w:r w:rsidRPr="002D02D5">
        <w:t xml:space="preserve">. </w:t>
      </w:r>
      <w:r w:rsidR="00E75226">
        <w:t>Technische A</w:t>
      </w:r>
      <w:r w:rsidR="00E75226">
        <w:t>n</w:t>
      </w:r>
      <w:r w:rsidR="00E75226">
        <w:t>sätze</w:t>
      </w:r>
      <w:r w:rsidR="00E75226" w:rsidRPr="002D02D5">
        <w:t>, wie man aus der Monographie – gleich ob als gedruckt oder digital vo</w:t>
      </w:r>
      <w:r w:rsidR="00E75226" w:rsidRPr="002D02D5">
        <w:t>r</w:t>
      </w:r>
      <w:r w:rsidR="00E75226" w:rsidRPr="002D02D5">
        <w:t>liegend – auf die ihr zugrunde liegenden digitalen Ressourcen verweisen kann</w:t>
      </w:r>
      <w:r w:rsidR="00E75226">
        <w:t xml:space="preserve">, wären etwa </w:t>
      </w:r>
      <w:r w:rsidR="002E2636">
        <w:t xml:space="preserve">persistente Identifikationsnummern (z.B. DataCite DOIs), </w:t>
      </w:r>
      <w:r w:rsidR="00E75226">
        <w:t>QR-Codes zur Schließung von Medienbrüchen, aber vor allem mehrdimensionale und plattformunabhängige Publikationsformen, die ihrer Anerkennung aus den genannten Gründen noch harren</w:t>
      </w:r>
      <w:r w:rsidR="00E75226" w:rsidRPr="002D02D5">
        <w:t xml:space="preserve">. </w:t>
      </w:r>
    </w:p>
    <w:p w:rsidR="00A4398B" w:rsidRDefault="00E75226" w:rsidP="00733191">
      <w:pPr>
        <w:pStyle w:val="Lauftext"/>
      </w:pPr>
      <w:r>
        <w:t xml:space="preserve">Für engagierte Nachwuchsforscher in den Digital Humanities ergibt sich </w:t>
      </w:r>
      <w:r w:rsidR="002D6B22">
        <w:t>außerdem</w:t>
      </w:r>
      <w:r>
        <w:t xml:space="preserve"> die Herausforderung, dass die Qualifizierungsarbeit in den meisten Geistes-, Sozial- und Gesellschaftswissenschaften konventionellen Erwartu</w:t>
      </w:r>
      <w:r>
        <w:t>n</w:t>
      </w:r>
      <w:r>
        <w:t xml:space="preserve">gen unterworfen ist und </w:t>
      </w:r>
      <w:r w:rsidR="00271E88">
        <w:t xml:space="preserve">aufgrund </w:t>
      </w:r>
      <w:r>
        <w:t xml:space="preserve">ihrer Bedeutung für den Karrierebeginn in der Wissenschaftswelt nicht </w:t>
      </w:r>
      <w:r w:rsidR="00271E88">
        <w:t xml:space="preserve">gerade </w:t>
      </w:r>
      <w:r>
        <w:t xml:space="preserve">prädestiniert </w:t>
      </w:r>
      <w:r w:rsidR="00271E88">
        <w:t xml:space="preserve">ist </w:t>
      </w:r>
      <w:r>
        <w:t xml:space="preserve">für Experimente. </w:t>
      </w:r>
      <w:r w:rsidR="00143500">
        <w:t xml:space="preserve">Neben der Entwicklung verlässlicher technischer Grundlagen für innovative digitale (oder hybride) Publikationsformen ist </w:t>
      </w:r>
      <w:r w:rsidR="003A4F2A">
        <w:t xml:space="preserve">demnach </w:t>
      </w:r>
      <w:r w:rsidR="00143500">
        <w:t>ein entsprechender Kultu</w:t>
      </w:r>
      <w:r w:rsidR="00143500">
        <w:t>r</w:t>
      </w:r>
      <w:r w:rsidR="00143500">
        <w:t>wandel vonnöten, der durch etablierte und prestigeträchtige Institutionen g</w:t>
      </w:r>
      <w:r w:rsidR="00143500">
        <w:t>e</w:t>
      </w:r>
      <w:r w:rsidR="00143500">
        <w:t xml:space="preserve">staltet und wirksam befördert </w:t>
      </w:r>
      <w:r w:rsidR="00EC1944">
        <w:t>werden kö</w:t>
      </w:r>
      <w:r w:rsidR="00143500">
        <w:t>nn</w:t>
      </w:r>
      <w:r w:rsidR="00EC1944">
        <w:t>te</w:t>
      </w:r>
      <w:r w:rsidR="00143500">
        <w:t>.</w:t>
      </w:r>
      <w:r w:rsidR="00D4275E">
        <w:rPr>
          <w:rStyle w:val="Funotenzeichen"/>
        </w:rPr>
        <w:footnoteReference w:id="13"/>
      </w:r>
      <w:r w:rsidR="00143500">
        <w:t xml:space="preserve"> </w:t>
      </w:r>
    </w:p>
    <w:p w:rsidR="00A7274B" w:rsidRDefault="00A7274B" w:rsidP="0035673C">
      <w:pPr>
        <w:pStyle w:val="berschrift3"/>
      </w:pPr>
      <w:r>
        <w:t xml:space="preserve">Freie </w:t>
      </w:r>
      <w:r w:rsidR="00733191">
        <w:t xml:space="preserve">Zugänglichkeit </w:t>
      </w:r>
      <w:r>
        <w:t>der Forschungsergebnisse</w:t>
      </w:r>
    </w:p>
    <w:p w:rsidR="00903A0C" w:rsidRDefault="00A7274B" w:rsidP="00903A0C">
      <w:r>
        <w:t>Als die DFG 201</w:t>
      </w:r>
      <w:r w:rsidR="004A2F86">
        <w:t>3</w:t>
      </w:r>
      <w:r>
        <w:t xml:space="preserve"> als Ergebnis des Göttinger Workshops </w:t>
      </w:r>
      <w:r w:rsidR="004A2F86">
        <w:t xml:space="preserve">„Open Access </w:t>
      </w:r>
      <w:r w:rsidR="00E77012">
        <w:t xml:space="preserve">für wissenschaftliche Monographien“ von </w:t>
      </w:r>
      <w:r w:rsidR="00D57253">
        <w:t>2012</w:t>
      </w:r>
      <w:r w:rsidR="00CF2753">
        <w:t xml:space="preserve"> (</w:t>
      </w:r>
      <w:r w:rsidR="00733191">
        <w:t>Chatzoudis 2012)</w:t>
      </w:r>
      <w:r w:rsidR="00D57253">
        <w:t xml:space="preserve"> </w:t>
      </w:r>
      <w:r w:rsidR="000E6A43">
        <w:t>eine Au</w:t>
      </w:r>
      <w:r w:rsidR="000E6A43">
        <w:t>s</w:t>
      </w:r>
      <w:r w:rsidR="000E6A43">
        <w:t xml:space="preserve">schreibung zur </w:t>
      </w:r>
      <w:r w:rsidR="00CF2753">
        <w:t>Förderung von innovativen Open-Access-</w:t>
      </w:r>
      <w:r w:rsidR="00D57253">
        <w:t>Projekten zur Mon</w:t>
      </w:r>
      <w:r w:rsidR="00D57253">
        <w:t>o</w:t>
      </w:r>
      <w:r w:rsidR="00D57253">
        <w:t xml:space="preserve">graphie </w:t>
      </w:r>
      <w:r w:rsidR="000E6A43">
        <w:t>auf den Weg brachte</w:t>
      </w:r>
      <w:r w:rsidR="00D57253">
        <w:t>, wurde eine erheblich größere Zahl von Proje</w:t>
      </w:r>
      <w:r w:rsidR="00D57253">
        <w:t>k</w:t>
      </w:r>
      <w:r w:rsidR="00D57253">
        <w:t>ten eingereicht, als man aus der Förderung von nur zwei Monogra</w:t>
      </w:r>
      <w:r w:rsidR="004E4775">
        <w:t>ph</w:t>
      </w:r>
      <w:r w:rsidR="00D57253">
        <w:t xml:space="preserve">ie-Projekten schließen könnte, dem Projekt </w:t>
      </w:r>
      <w:r w:rsidR="00D57253" w:rsidRPr="00D57253">
        <w:rPr>
          <w:i/>
        </w:rPr>
        <w:t>OA Monographien: Language Sc</w:t>
      </w:r>
      <w:r w:rsidR="00D57253" w:rsidRPr="00D57253">
        <w:rPr>
          <w:i/>
        </w:rPr>
        <w:t>i</w:t>
      </w:r>
      <w:r w:rsidR="00D57253" w:rsidRPr="00D57253">
        <w:rPr>
          <w:i/>
        </w:rPr>
        <w:t>ence Publications: A publication model for open-access books in linguistics</w:t>
      </w:r>
      <w:r w:rsidR="00D57253">
        <w:rPr>
          <w:rStyle w:val="Funotenzeichen"/>
        </w:rPr>
        <w:footnoteReference w:id="14"/>
      </w:r>
      <w:r w:rsidR="00D57253">
        <w:t xml:space="preserve"> und dem Projekt </w:t>
      </w:r>
      <w:r w:rsidR="00903A0C" w:rsidRPr="00903A0C">
        <w:rPr>
          <w:i/>
        </w:rPr>
        <w:t xml:space="preserve">OA Monographien: Entwicklung </w:t>
      </w:r>
      <w:r w:rsidR="00CF2753">
        <w:rPr>
          <w:i/>
        </w:rPr>
        <w:t>eines Geschäftsmodells für Open-Access-</w:t>
      </w:r>
      <w:r w:rsidR="00903A0C" w:rsidRPr="00903A0C">
        <w:rPr>
          <w:i/>
        </w:rPr>
        <w:t>Monographien anhand des Pilotprojektes Heidelberg Studies in Transculturality</w:t>
      </w:r>
      <w:r w:rsidR="00D57253">
        <w:rPr>
          <w:rStyle w:val="Funotenzeichen"/>
        </w:rPr>
        <w:footnoteReference w:id="15"/>
      </w:r>
      <w:r w:rsidR="00D57253">
        <w:t>. Beide Projekte beinhalten innovative Elemente des eigen</w:t>
      </w:r>
      <w:r w:rsidR="00D57253">
        <w:t>t</w:t>
      </w:r>
      <w:r w:rsidR="00D57253">
        <w:t>lichen Mediums selbst, der zentrale Fördergedanke scheint hingegen die En</w:t>
      </w:r>
      <w:r w:rsidR="00D57253">
        <w:t>t</w:t>
      </w:r>
      <w:r w:rsidR="00D57253">
        <w:t xml:space="preserve">wicklung von Geschäftsmodellen zu sein. </w:t>
      </w:r>
      <w:r w:rsidR="00903A0C">
        <w:t>Im kommerziellen Bereich</w:t>
      </w:r>
      <w:r w:rsidR="00A4398B" w:rsidRPr="008F3CD9">
        <w:t xml:space="preserve"> sind </w:t>
      </w:r>
      <w:r w:rsidR="00903A0C">
        <w:t>in den letzten Jahren</w:t>
      </w:r>
      <w:r w:rsidR="00A4398B" w:rsidRPr="008F3CD9">
        <w:t xml:space="preserve"> Verlage wie Walter de Gruyter </w:t>
      </w:r>
      <w:r w:rsidR="00903A0C">
        <w:t xml:space="preserve">oder Palgrave MacMillan </w:t>
      </w:r>
      <w:r w:rsidR="00A4398B" w:rsidRPr="008F3CD9">
        <w:t>mit dezidierten OA-Publikationsmodellen auch für Bücher hervorgetreten</w:t>
      </w:r>
      <w:r w:rsidR="00A4398B">
        <w:rPr>
          <w:rStyle w:val="Funotenzeichen"/>
          <w:rFonts w:eastAsiaTheme="majorEastAsia"/>
        </w:rPr>
        <w:footnoteReference w:id="16"/>
      </w:r>
      <w:r w:rsidR="00A4398B" w:rsidRPr="008F3CD9">
        <w:t>. Doch ist darunter kein Akteur gewesen, der vorwiegend die Interessen der Wissenschaft und der Forschungsförderer vertritt. So scheinen es nur die wi</w:t>
      </w:r>
      <w:r w:rsidR="00A4398B" w:rsidRPr="008F3CD9">
        <w:t>s</w:t>
      </w:r>
      <w:r w:rsidR="00A4398B" w:rsidRPr="008F3CD9">
        <w:t>senschaftsgesteuerten Universitätsverlage zu sein (die in der AG Univerlage organisiert sind)</w:t>
      </w:r>
      <w:r w:rsidR="00A4398B">
        <w:rPr>
          <w:rStyle w:val="Funotenzeichen"/>
          <w:rFonts w:eastAsiaTheme="majorEastAsia"/>
        </w:rPr>
        <w:footnoteReference w:id="17"/>
      </w:r>
      <w:r w:rsidR="00A4398B" w:rsidRPr="008F3CD9">
        <w:t>, die das Verlegen von Büchern im Open</w:t>
      </w:r>
      <w:r w:rsidR="00CF2753">
        <w:t>-</w:t>
      </w:r>
      <w:r w:rsidR="00A4398B" w:rsidRPr="008F3CD9">
        <w:t>Access</w:t>
      </w:r>
      <w:r w:rsidR="004E4775">
        <w:t>-</w:t>
      </w:r>
      <w:r w:rsidR="00A4398B" w:rsidRPr="008F3CD9">
        <w:t>Modell seit vielen Jahren als Routine und im Interesse der wissenschaftlichen Einrichtu</w:t>
      </w:r>
      <w:r w:rsidR="00A4398B" w:rsidRPr="008F3CD9">
        <w:t>n</w:t>
      </w:r>
      <w:r w:rsidR="00A4398B" w:rsidRPr="008F3CD9">
        <w:t>gen betreiben. Bei den kommerziellen Anbietern scheint es an erprobten G</w:t>
      </w:r>
      <w:r w:rsidR="00A4398B" w:rsidRPr="008F3CD9">
        <w:t>e</w:t>
      </w:r>
      <w:r w:rsidR="00A4398B" w:rsidRPr="008F3CD9">
        <w:t xml:space="preserve">schäfts- und Erlösmodellen sowie Erfahrungen zu mangeln, auf die sich die gesamten Akteure der Wertschöpfungskette im wissenschaftlichen Publizieren stützen könnten. </w:t>
      </w:r>
    </w:p>
    <w:p w:rsidR="00A4398B" w:rsidRPr="00707A92" w:rsidRDefault="00D57253" w:rsidP="00707A92">
      <w:pPr>
        <w:pStyle w:val="berschrift2"/>
        <w:spacing w:line="240" w:lineRule="exact"/>
        <w:rPr>
          <w:sz w:val="22"/>
          <w:szCs w:val="22"/>
        </w:rPr>
      </w:pPr>
      <w:r w:rsidRPr="00707A92">
        <w:rPr>
          <w:sz w:val="22"/>
          <w:szCs w:val="22"/>
        </w:rPr>
        <w:t>Lösungsansätze</w:t>
      </w:r>
    </w:p>
    <w:p w:rsidR="00B31A74" w:rsidRDefault="00903A0C" w:rsidP="00B31A74">
      <w:r w:rsidRPr="008F3CD9">
        <w:t>In Fachbereichen, in denen die prestigeträchtigsten Verlage im Ausland sitzen und ausreichend Innovations</w:t>
      </w:r>
      <w:r w:rsidR="00CF2753">
        <w:t>p</w:t>
      </w:r>
      <w:r w:rsidR="006935D3">
        <w:t>otenzial</w:t>
      </w:r>
      <w:r w:rsidRPr="008F3CD9">
        <w:t xml:space="preserve"> hätten, etwa die großen anglo-amerikanischen Universitätsverlage oder Verlage wie Brill und Routledge, ist die Einflussnahme deutscher Autoren und Förderer in Hinblick auf mehr Open Access bisher gering ausgeprägt und daher stark ausbaufähig. Auch die Ko</w:t>
      </w:r>
      <w:r w:rsidRPr="008F3CD9">
        <w:t>s</w:t>
      </w:r>
      <w:r w:rsidRPr="008F3CD9">
        <w:t xml:space="preserve">ten in </w:t>
      </w:r>
      <w:r>
        <w:t>rezenten</w:t>
      </w:r>
      <w:r w:rsidRPr="008F3CD9">
        <w:t xml:space="preserve"> kommerziellen Angeboten wie Springer Open</w:t>
      </w:r>
      <w:r>
        <w:rPr>
          <w:rStyle w:val="Funotenzeichen"/>
          <w:rFonts w:eastAsiaTheme="majorEastAsia"/>
        </w:rPr>
        <w:footnoteReference w:id="18"/>
      </w:r>
      <w:r w:rsidRPr="008F3CD9">
        <w:t xml:space="preserve"> oder Palgrave Macmillan</w:t>
      </w:r>
      <w:r>
        <w:rPr>
          <w:rStyle w:val="Funotenzeichen"/>
          <w:rFonts w:eastAsiaTheme="majorEastAsia"/>
        </w:rPr>
        <w:footnoteReference w:id="19"/>
      </w:r>
      <w:r w:rsidRPr="008F3CD9">
        <w:t xml:space="preserve"> zeigen, dass die Publikationsversorgung im Open-Access-Modell nicht komplett den Kräften des Marktes überlassen werden </w:t>
      </w:r>
      <w:r>
        <w:t>sollte</w:t>
      </w:r>
      <w:r w:rsidRPr="008F3CD9">
        <w:t>. Die Förd</w:t>
      </w:r>
      <w:r w:rsidRPr="008F3CD9">
        <w:t>e</w:t>
      </w:r>
      <w:r w:rsidRPr="008F3CD9">
        <w:t>rung von Open-Access-Monographien des österreichischen Wissenschaft</w:t>
      </w:r>
      <w:r w:rsidRPr="008F3CD9">
        <w:t>s</w:t>
      </w:r>
      <w:r w:rsidRPr="008F3CD9">
        <w:t>fonds FWF</w:t>
      </w:r>
      <w:r>
        <w:rPr>
          <w:rStyle w:val="Funotenzeichen"/>
          <w:rFonts w:eastAsiaTheme="majorEastAsia"/>
        </w:rPr>
        <w:footnoteReference w:id="20"/>
      </w:r>
      <w:r w:rsidRPr="008F3CD9">
        <w:t xml:space="preserve"> ist ein Beispiel für einen solchen gesteuerten Ansatz, der in Z</w:t>
      </w:r>
      <w:r w:rsidRPr="008F3CD9">
        <w:t>u</w:t>
      </w:r>
      <w:r w:rsidRPr="008F3CD9">
        <w:t>sammenarbeit mit kommerziellen Verlagen</w:t>
      </w:r>
      <w:r>
        <w:rPr>
          <w:rStyle w:val="Funotenzeichen"/>
          <w:rFonts w:eastAsiaTheme="majorEastAsia"/>
        </w:rPr>
        <w:footnoteReference w:id="21"/>
      </w:r>
      <w:r w:rsidRPr="008F3CD9">
        <w:t xml:space="preserve"> umgesetzt wurde</w:t>
      </w:r>
      <w:r>
        <w:t xml:space="preserve">. Angesichts der erheblichen Autorenleistungen für Erstellung der Inhalte ist </w:t>
      </w:r>
      <w:r w:rsidR="00B31A74">
        <w:t xml:space="preserve">jedoch </w:t>
      </w:r>
      <w:r>
        <w:t>fraglich, ob bei diesen Summen die Krise der Monograph</w:t>
      </w:r>
      <w:r w:rsidR="00CF2753">
        <w:t>ie durch die Open-</w:t>
      </w:r>
      <w:r>
        <w:t>Access</w:t>
      </w:r>
      <w:r w:rsidR="00CA2AF7">
        <w:t>-</w:t>
      </w:r>
      <w:r>
        <w:t xml:space="preserve">Bereitstellung gelöst werden kann. </w:t>
      </w:r>
    </w:p>
    <w:p w:rsidR="0041455A" w:rsidRDefault="00903A0C" w:rsidP="00E340E3">
      <w:pPr>
        <w:pStyle w:val="Lauftext"/>
      </w:pPr>
      <w:r>
        <w:t>Für die bessere A</w:t>
      </w:r>
      <w:r w:rsidR="006935D3">
        <w:t>usschöpfung der digitalen Potenz</w:t>
      </w:r>
      <w:r>
        <w:t xml:space="preserve">iale </w:t>
      </w:r>
      <w:r w:rsidR="00D57253">
        <w:t>bestünde selbstve</w:t>
      </w:r>
      <w:r w:rsidR="00D57253">
        <w:t>r</w:t>
      </w:r>
      <w:r w:rsidR="00D57253">
        <w:t>ständlich die Möglichkeit, die Empfehlung auszusprechen, nicht mehr zu dr</w:t>
      </w:r>
      <w:r w:rsidR="00D57253">
        <w:t>u</w:t>
      </w:r>
      <w:r w:rsidR="00D57253">
        <w:t>cken, sondern nur digitale Monographien zu erstellen, in denen Internet-Referenzen zu digitalen Ressourcen wie im elektronischen Zeitschriftenartikel effektiv integriert werden können. Dies würde jedoch dem noch vielfach eta</w:t>
      </w:r>
      <w:r w:rsidR="00D57253">
        <w:t>b</w:t>
      </w:r>
      <w:r w:rsidR="00D57253">
        <w:t xml:space="preserve">lierten Leseverhalten von Monographien in Druckform widersprechen – und </w:t>
      </w:r>
      <w:r w:rsidR="002D6B22">
        <w:t xml:space="preserve">vor allem </w:t>
      </w:r>
      <w:r w:rsidR="00D57253">
        <w:t xml:space="preserve">das </w:t>
      </w:r>
      <w:r>
        <w:t>zuvor</w:t>
      </w:r>
      <w:r w:rsidR="00D57253">
        <w:t xml:space="preserve"> angesprochene </w:t>
      </w:r>
      <w:r>
        <w:t>Dilemma für Autoren</w:t>
      </w:r>
      <w:r w:rsidR="00D57253">
        <w:t xml:space="preserve"> nicht lösen, das in der hohen </w:t>
      </w:r>
      <w:r>
        <w:t>Zertifizierungsfunktion</w:t>
      </w:r>
      <w:r w:rsidR="00D57253">
        <w:t xml:space="preserve"> der gedruckten Monographien begründet ist. Die Frage ist also, welche Formen der stärkeren Integration zwischen g</w:t>
      </w:r>
      <w:r w:rsidR="00D57253">
        <w:t>e</w:t>
      </w:r>
      <w:r w:rsidR="00D57253">
        <w:t xml:space="preserve">druckten Monographien und digitalen Ressourcen gefunden werden können. </w:t>
      </w:r>
    </w:p>
    <w:p w:rsidR="0041455A" w:rsidRPr="00B31A74" w:rsidRDefault="0041455A" w:rsidP="0041455A">
      <w:pPr>
        <w:pStyle w:val="Lauftext"/>
      </w:pPr>
      <w:r w:rsidRPr="00B31A74">
        <w:t>Wir schlagen daher vor</w:t>
      </w:r>
      <w:r w:rsidR="00A4398B" w:rsidRPr="00B31A74">
        <w:t xml:space="preserve">, </w:t>
      </w:r>
      <w:r w:rsidRPr="00B31A74">
        <w:t>in enger Zusammenarbeit von Forschenden, Infr</w:t>
      </w:r>
      <w:r w:rsidRPr="00B31A74">
        <w:t>a</w:t>
      </w:r>
      <w:r w:rsidRPr="00B31A74">
        <w:t xml:space="preserve">struktureinrichtungen und Förderern </w:t>
      </w:r>
      <w:r w:rsidR="002E2636" w:rsidRPr="00B31A74">
        <w:t xml:space="preserve">Förderformate </w:t>
      </w:r>
      <w:r w:rsidRPr="00B31A74">
        <w:t>für</w:t>
      </w:r>
      <w:r w:rsidR="00A4398B" w:rsidRPr="00B31A74">
        <w:t xml:space="preserve"> </w:t>
      </w:r>
      <w:r w:rsidRPr="00B31A74">
        <w:t>ergebnisoffene</w:t>
      </w:r>
      <w:r w:rsidR="00A4398B" w:rsidRPr="00B31A74">
        <w:t xml:space="preserve"> und experimentelle Vorhaben </w:t>
      </w:r>
      <w:r w:rsidRPr="00B31A74">
        <w:t>zur Schaffung einer</w:t>
      </w:r>
      <w:r w:rsidR="00A4398B" w:rsidRPr="00B31A74">
        <w:t xml:space="preserve"> Monographienkultur </w:t>
      </w:r>
      <w:r w:rsidRPr="00B31A74">
        <w:t>zu entw</w:t>
      </w:r>
      <w:r w:rsidRPr="00B31A74">
        <w:t>i</w:t>
      </w:r>
      <w:r w:rsidRPr="00B31A74">
        <w:t xml:space="preserve">ckeln, die das volle </w:t>
      </w:r>
      <w:r w:rsidR="006935D3">
        <w:t>Potenzial</w:t>
      </w:r>
      <w:r w:rsidRPr="00B31A74">
        <w:t xml:space="preserve"> der digitalen Bereitstellung ausschöpft, ohne die Vorteile der konventionellen Bereitstellung zu verschenken. </w:t>
      </w:r>
      <w:r w:rsidR="00A4398B" w:rsidRPr="00B31A74">
        <w:t xml:space="preserve">Folgende Felder </w:t>
      </w:r>
      <w:r w:rsidRPr="00B31A74">
        <w:t>sollten</w:t>
      </w:r>
      <w:r w:rsidR="00A4398B" w:rsidRPr="00B31A74">
        <w:t xml:space="preserve"> in Anträgen berücksichtigt werden</w:t>
      </w:r>
      <w:r w:rsidR="00B31A74">
        <w:t xml:space="preserve"> können</w:t>
      </w:r>
      <w:r w:rsidR="00A4398B" w:rsidRPr="00B31A74">
        <w:t>:</w:t>
      </w:r>
      <w:r w:rsidR="002E2636" w:rsidRPr="00B31A74">
        <w:t xml:space="preserve"> </w:t>
      </w:r>
    </w:p>
    <w:p w:rsidR="0041455A" w:rsidRPr="00B31A74" w:rsidRDefault="00B31A74" w:rsidP="00B31A74">
      <w:pPr>
        <w:pStyle w:val="Aufzhlung"/>
        <w:ind w:left="426" w:hanging="142"/>
      </w:pPr>
      <w:r>
        <w:t xml:space="preserve">Technische, organisatorische und kulturelle Ansätze zum </w:t>
      </w:r>
      <w:r w:rsidR="0041455A" w:rsidRPr="00B31A74">
        <w:t>Schließen von Medienbrüchen zwischen digitale</w:t>
      </w:r>
      <w:r>
        <w:t>n</w:t>
      </w:r>
      <w:r w:rsidR="0041455A" w:rsidRPr="00B31A74">
        <w:t xml:space="preserve"> Ressourcen bzw. Primärdaten und den entsprechenden wissenschaftlichen Veröffentlichungen </w:t>
      </w:r>
    </w:p>
    <w:p w:rsidR="0041455A" w:rsidRPr="00B31A74" w:rsidRDefault="0041455A" w:rsidP="00B31A74">
      <w:pPr>
        <w:pStyle w:val="Aufzhlung"/>
        <w:ind w:left="426" w:hanging="142"/>
      </w:pPr>
      <w:r w:rsidRPr="00B31A74">
        <w:t xml:space="preserve">Unterstützung paralleler Druck- und Digitalausgaben von Monographien </w:t>
      </w:r>
      <w:r w:rsidR="00B31A74">
        <w:t>durch die Umsetzung entsprechender Erlös- und Geschäftsmodelle</w:t>
      </w:r>
    </w:p>
    <w:p w:rsidR="008F39EF" w:rsidRPr="00B31A74" w:rsidRDefault="00B31A74">
      <w:pPr>
        <w:pStyle w:val="Aufzhlung"/>
        <w:ind w:left="426" w:hanging="142"/>
      </w:pPr>
      <w:r>
        <w:t>Technisch-organisatorische E</w:t>
      </w:r>
      <w:r w:rsidR="002E2636" w:rsidRPr="00B31A74">
        <w:t xml:space="preserve">ntwicklungen wie Publikationsplattformen für </w:t>
      </w:r>
      <w:r w:rsidR="00CF2753">
        <w:t>d</w:t>
      </w:r>
      <w:r w:rsidR="002E2636" w:rsidRPr="00B31A74">
        <w:t>igitale Produkte und Daten der geisteswissenschaftlichen Forschung</w:t>
      </w:r>
    </w:p>
    <w:p w:rsidR="0041455A" w:rsidRPr="00B31A74" w:rsidRDefault="002E2636" w:rsidP="00B31A74">
      <w:pPr>
        <w:pStyle w:val="Aufzhlung"/>
        <w:ind w:left="426" w:hanging="142"/>
      </w:pPr>
      <w:r w:rsidRPr="00B31A74">
        <w:t>N</w:t>
      </w:r>
      <w:r w:rsidR="00A4398B" w:rsidRPr="00B31A74">
        <w:t>utzerfreundliche technische Verfahren zum schnellen Verweis von g</w:t>
      </w:r>
      <w:r w:rsidR="00A4398B" w:rsidRPr="00B31A74">
        <w:t>e</w:t>
      </w:r>
      <w:r w:rsidR="00A4398B" w:rsidRPr="00B31A74">
        <w:t>druckter Literatur auf digitale Ressourcen</w:t>
      </w:r>
    </w:p>
    <w:p w:rsidR="00A4398B" w:rsidRDefault="00DD5492" w:rsidP="00B31A74">
      <w:pPr>
        <w:pStyle w:val="Aufzhlung"/>
        <w:ind w:left="426" w:hanging="142"/>
      </w:pPr>
      <w:r w:rsidRPr="00B31A74">
        <w:t>Leitlin</w:t>
      </w:r>
      <w:r w:rsidR="00B31A74" w:rsidRPr="00B31A74">
        <w:t>i</w:t>
      </w:r>
      <w:r w:rsidRPr="00B31A74">
        <w:t>en zur g</w:t>
      </w:r>
      <w:r w:rsidR="00A4398B" w:rsidRPr="00B31A74">
        <w:t>ute</w:t>
      </w:r>
      <w:r w:rsidRPr="00B31A74">
        <w:t>n</w:t>
      </w:r>
      <w:r w:rsidR="00A4398B" w:rsidRPr="00B31A74">
        <w:t xml:space="preserve"> Praxis der Daten-Zitation in den Geistes- und Soz</w:t>
      </w:r>
      <w:r w:rsidR="00A4398B" w:rsidRPr="00B31A74">
        <w:t>i</w:t>
      </w:r>
      <w:r w:rsidR="00A4398B" w:rsidRPr="00B31A74">
        <w:t>alwissenschaften</w:t>
      </w:r>
    </w:p>
    <w:p w:rsidR="00E340E3" w:rsidRPr="00B31A74" w:rsidRDefault="00E340E3" w:rsidP="00B31A74">
      <w:pPr>
        <w:pStyle w:val="Aufzhlung"/>
        <w:ind w:left="426" w:hanging="142"/>
      </w:pPr>
      <w:r>
        <w:t>Ansätze für innovative Methoden von Begutachtung, Bewertung, Impact-Messung und Partizipation</w:t>
      </w:r>
    </w:p>
    <w:p w:rsidR="00107A8A" w:rsidRDefault="00E340E3" w:rsidP="0035673C">
      <w:r w:rsidRPr="00E340E3">
        <w:t>Wir sehen in der bestehenden Forschungs- und Publikationslandschaft vielve</w:t>
      </w:r>
      <w:r w:rsidRPr="00E340E3">
        <w:t>r</w:t>
      </w:r>
      <w:r w:rsidRPr="00E340E3">
        <w:t xml:space="preserve">sprechende Ansätze, um den skizzierten Herausforderungen </w:t>
      </w:r>
      <w:r w:rsidR="00566143">
        <w:t>in den buchorie</w:t>
      </w:r>
      <w:r w:rsidR="00566143">
        <w:t>n</w:t>
      </w:r>
      <w:r w:rsidR="00566143">
        <w:t xml:space="preserve">tierten Disziplinen </w:t>
      </w:r>
      <w:r w:rsidRPr="00E340E3">
        <w:t xml:space="preserve">zu begegnen. </w:t>
      </w:r>
      <w:r w:rsidR="00CD59CD">
        <w:t>Inzwischen gibt es 15 Studiengänge allein in Deutschland, die dem Begriff Digital Humanities zuzuordnen sind und über 160 Forschende, die sich im Verband „Digital Humanities im deutschsprach</w:t>
      </w:r>
      <w:r w:rsidR="00CD59CD">
        <w:t>i</w:t>
      </w:r>
      <w:r w:rsidR="00CD59CD">
        <w:t>gen Raum“ (DHd) organisieren</w:t>
      </w:r>
      <w:r w:rsidR="00107A8A">
        <w:rPr>
          <w:rStyle w:val="Funotenzeichen"/>
        </w:rPr>
        <w:footnoteReference w:id="22"/>
      </w:r>
      <w:r w:rsidR="00CD59CD">
        <w:t>. Diesen in Forschung und Lehre aktiven Wissenschaftlern stehen inzwischen etablierte Plattformen und Werkzeuge zur Verfügung, darunter TextGrid mit seiner aktiven Anwendercommunity, l</w:t>
      </w:r>
      <w:r w:rsidR="00CD59CD">
        <w:t>e</w:t>
      </w:r>
      <w:r w:rsidR="00CD59CD">
        <w:t xml:space="preserve">bendige Netzwerke wie DHd, Infrastrukturen wie DARIAH oder CLARIN. </w:t>
      </w:r>
    </w:p>
    <w:p w:rsidR="00650EF0" w:rsidRDefault="00CD59CD" w:rsidP="00107A8A">
      <w:pPr>
        <w:pStyle w:val="Lauftext"/>
      </w:pPr>
      <w:r>
        <w:t>Dass in neuen Forschungszusammenhängen sich die entsprechenden Pu</w:t>
      </w:r>
      <w:r>
        <w:t>b</w:t>
      </w:r>
      <w:r>
        <w:t>likationswege</w:t>
      </w:r>
      <w:r w:rsidR="007F73E3">
        <w:t xml:space="preserve"> gleichermaßen entwickeln, ist jedoch keine Selbstverständlic</w:t>
      </w:r>
      <w:r w:rsidR="007F73E3">
        <w:t>h</w:t>
      </w:r>
      <w:r w:rsidR="007F73E3">
        <w:t>keit. Denn betrachten wir die vier Funktionen des Publizierens, a) die Regis</w:t>
      </w:r>
      <w:r w:rsidR="007F73E3">
        <w:t>t</w:t>
      </w:r>
      <w:r w:rsidR="007F73E3">
        <w:t>rierung, b) die Zertifizierung, c) die Verbreitung und d) die Archivierung, wird deu</w:t>
      </w:r>
      <w:r w:rsidR="006935D3">
        <w:t>tlich, dass die digitalen Potenz</w:t>
      </w:r>
      <w:r w:rsidR="007F73E3">
        <w:t xml:space="preserve">iale der Monographie nicht leichter Hand mit konventionellen Ansätzen umgesetzt werden können. Auf welches Objekt </w:t>
      </w:r>
      <w:r w:rsidR="00F008A9">
        <w:t xml:space="preserve">mit welchen persistenten Identifikatoren </w:t>
      </w:r>
      <w:r w:rsidR="007F73E3">
        <w:t xml:space="preserve">beziehen wir uns beim Zitieren, wie wird Reputation geschaffen, welche Verbreitungswege können </w:t>
      </w:r>
      <w:r w:rsidR="00650EF0">
        <w:t xml:space="preserve">neuartige </w:t>
      </w:r>
      <w:r w:rsidR="007F73E3">
        <w:t>M</w:t>
      </w:r>
      <w:r w:rsidR="007F73E3">
        <w:t>o</w:t>
      </w:r>
      <w:r w:rsidR="007F73E3">
        <w:t>nographien gehen und wie ist die dauerhafte Verfüg</w:t>
      </w:r>
      <w:r w:rsidR="00650EF0">
        <w:t>barkeit zu organisieren, wären zu lösende Fragen, die in experimentellen Ansätzen</w:t>
      </w:r>
      <w:r w:rsidR="00F124A4">
        <w:rPr>
          <w:rStyle w:val="Funotenzeichen"/>
        </w:rPr>
        <w:footnoteReference w:id="23"/>
      </w:r>
      <w:r w:rsidR="00650EF0">
        <w:t xml:space="preserve"> gestreift werden. Bilden sich in den</w:t>
      </w:r>
      <w:r w:rsidR="00107A8A">
        <w:t xml:space="preserve"> </w:t>
      </w:r>
      <w:r w:rsidR="00650EF0">
        <w:t xml:space="preserve">vier genannten </w:t>
      </w:r>
      <w:r w:rsidR="00107A8A">
        <w:t xml:space="preserve">Publikationsfunktionen </w:t>
      </w:r>
      <w:r w:rsidR="00650EF0">
        <w:t>die</w:t>
      </w:r>
      <w:r w:rsidR="00107A8A">
        <w:t xml:space="preserve"> Möglichkeiten sich neu entwickelnder Forschungsfelder</w:t>
      </w:r>
      <w:r w:rsidR="00650EF0">
        <w:t xml:space="preserve"> nicht ab</w:t>
      </w:r>
      <w:r w:rsidR="00107A8A">
        <w:t xml:space="preserve">, </w:t>
      </w:r>
      <w:r w:rsidR="00650EF0">
        <w:t>greifen entweder die Fun</w:t>
      </w:r>
      <w:r w:rsidR="00650EF0">
        <w:t>k</w:t>
      </w:r>
      <w:r w:rsidR="00650EF0">
        <w:t xml:space="preserve">tionen zu kurz, wie wir es bei den Anforderungen an Qualifizierungsarbeiten für die Karrierebildung herausgearbeitet haben oder bleiben unnötig flach, </w:t>
      </w:r>
      <w:r w:rsidR="00F008A9">
        <w:t>wenn</w:t>
      </w:r>
      <w:r w:rsidR="00650EF0">
        <w:t xml:space="preserve"> zum Beispiel </w:t>
      </w:r>
      <w:r w:rsidR="00F008A9">
        <w:t xml:space="preserve">in einer Publikation </w:t>
      </w:r>
      <w:r w:rsidR="00650EF0">
        <w:t>der Durchgriff auf digitale Primärd</w:t>
      </w:r>
      <w:r w:rsidR="00650EF0">
        <w:t>a</w:t>
      </w:r>
      <w:r w:rsidR="00650EF0">
        <w:t xml:space="preserve">ten nicht ermöglicht wird. </w:t>
      </w:r>
      <w:r w:rsidR="007F73E3">
        <w:t xml:space="preserve">Solange der Zertifzierung </w:t>
      </w:r>
      <w:r w:rsidR="00107A8A">
        <w:t>mittels</w:t>
      </w:r>
      <w:r w:rsidR="007F73E3">
        <w:t xml:space="preserve"> Ver</w:t>
      </w:r>
      <w:r w:rsidR="00107A8A">
        <w:t>lagsver</w:t>
      </w:r>
      <w:r w:rsidR="007F73E3">
        <w:t>öffen</w:t>
      </w:r>
      <w:r w:rsidR="007F73E3">
        <w:t>t</w:t>
      </w:r>
      <w:r w:rsidR="007F73E3">
        <w:t xml:space="preserve">lichungen </w:t>
      </w:r>
      <w:r w:rsidR="00107A8A">
        <w:t xml:space="preserve">hoher Wert beigemessen wird, müssen </w:t>
      </w:r>
      <w:r w:rsidR="00650EF0">
        <w:t xml:space="preserve">deshalb </w:t>
      </w:r>
      <w:r w:rsidR="00107A8A">
        <w:t>die genannten Fun</w:t>
      </w:r>
      <w:r w:rsidR="00107A8A">
        <w:t>k</w:t>
      </w:r>
      <w:r w:rsidR="00107A8A">
        <w:t>tionen in Zusammenarbeit mit Verlagen neu gedacht werden, und zwar Verl</w:t>
      </w:r>
      <w:r w:rsidR="00107A8A">
        <w:t>a</w:t>
      </w:r>
      <w:r w:rsidR="00107A8A">
        <w:t xml:space="preserve">gen in einem partnerschaftlichen Verhältnis zur Wissenschaft. </w:t>
      </w:r>
      <w:r w:rsidR="00650EF0">
        <w:t xml:space="preserve">Denn </w:t>
      </w:r>
      <w:r w:rsidR="00F008A9">
        <w:t>bereits</w:t>
      </w:r>
      <w:r w:rsidR="00650EF0">
        <w:t xml:space="preserve"> die </w:t>
      </w:r>
      <w:r w:rsidR="00F008A9">
        <w:t>genannten Autorengebühren für Open-Access-Monographien von ko</w:t>
      </w:r>
      <w:r w:rsidR="00F008A9">
        <w:t>m</w:t>
      </w:r>
      <w:r w:rsidR="00F008A9">
        <w:t>merziellen Verlagen im schlichten PDF-Format zeigen auf, dass eine fläche</w:t>
      </w:r>
      <w:r w:rsidR="00F008A9">
        <w:t>n</w:t>
      </w:r>
      <w:r w:rsidR="00F008A9">
        <w:t>deckende Versorgung mit Publikationsmöglichkeiten für die Digital Human</w:t>
      </w:r>
      <w:r w:rsidR="00F008A9">
        <w:t>i</w:t>
      </w:r>
      <w:r w:rsidR="00F008A9">
        <w:t xml:space="preserve">ties von den gewinnorientieren Akteuren nicht zu erwarten ist. </w:t>
      </w:r>
    </w:p>
    <w:p w:rsidR="00DD5492" w:rsidRDefault="007F73E3" w:rsidP="00107A8A">
      <w:pPr>
        <w:pStyle w:val="Lauftext"/>
      </w:pPr>
      <w:r>
        <w:t>Vor diesem Hintergrund ist nachvollziehbar, weshalb im Februar 2015 die Andrew Mellon Foundation</w:t>
      </w:r>
      <w:r w:rsidR="00107A8A">
        <w:t xml:space="preserve"> amerikanische Universitätsverlage </w:t>
      </w:r>
      <w:r w:rsidR="00F124A4">
        <w:t>erfolgreich</w:t>
      </w:r>
      <w:r w:rsidR="00F124A4">
        <w:rPr>
          <w:rStyle w:val="Funotenzeichen"/>
        </w:rPr>
        <w:footnoteReference w:id="24"/>
      </w:r>
      <w:r w:rsidR="00F124A4">
        <w:t xml:space="preserve"> </w:t>
      </w:r>
      <w:r w:rsidR="00107A8A">
        <w:t>aufforderte, Projektanträge für innovative Publikationsformen aus Digital</w:t>
      </w:r>
      <w:r w:rsidR="00416D58">
        <w:t>-Humanities-</w:t>
      </w:r>
      <w:r w:rsidR="00107A8A">
        <w:t>Zus</w:t>
      </w:r>
      <w:r w:rsidR="00416D58">
        <w:t>ammenhängen einzureichen (</w:t>
      </w:r>
      <w:r w:rsidR="00107A8A">
        <w:t>Straumsheim 2015)</w:t>
      </w:r>
      <w:r w:rsidR="00F124A4">
        <w:t>. Im deutsc</w:t>
      </w:r>
      <w:r w:rsidR="00F124A4">
        <w:t>h</w:t>
      </w:r>
      <w:r w:rsidR="00F124A4">
        <w:t xml:space="preserve">sprachigen Raum wären als Partner </w:t>
      </w:r>
      <w:r w:rsidR="002D6B22">
        <w:t xml:space="preserve">die inzwischen über 20 </w:t>
      </w:r>
      <w:r w:rsidR="00566143">
        <w:t>wissenschaftsg</w:t>
      </w:r>
      <w:r w:rsidR="00566143">
        <w:t>e</w:t>
      </w:r>
      <w:r w:rsidR="00566143">
        <w:t>steuerten Universitätsverlage zu nennen, die zum Großteil als Serviceeinric</w:t>
      </w:r>
      <w:r w:rsidR="00566143">
        <w:t>h</w:t>
      </w:r>
      <w:r w:rsidR="00566143">
        <w:t>tungen an den jeweiligen Universitäten selbst organisiert sind, etwa an den Bibliotheken.</w:t>
      </w:r>
      <w:r w:rsidR="00ED70BC">
        <w:t xml:space="preserve"> </w:t>
      </w:r>
      <w:r w:rsidR="00743A92">
        <w:t>K</w:t>
      </w:r>
      <w:r w:rsidR="00F124A4">
        <w:t>ommerzielle</w:t>
      </w:r>
      <w:r w:rsidR="00416D58">
        <w:t xml:space="preserve"> Verlage</w:t>
      </w:r>
      <w:r w:rsidR="00F124A4">
        <w:t xml:space="preserve">, </w:t>
      </w:r>
      <w:r w:rsidR="00743A92">
        <w:t xml:space="preserve">die </w:t>
      </w:r>
      <w:r w:rsidR="00F124A4">
        <w:t xml:space="preserve">sich </w:t>
      </w:r>
      <w:r w:rsidR="00743A92">
        <w:t xml:space="preserve">bereits </w:t>
      </w:r>
      <w:r w:rsidR="00F124A4">
        <w:t>auf Open Access ein</w:t>
      </w:r>
      <w:r w:rsidR="00743A92">
        <w:t>g</w:t>
      </w:r>
      <w:r w:rsidR="00743A92">
        <w:t>e</w:t>
      </w:r>
      <w:r w:rsidR="00F124A4">
        <w:t>lassen und zusammen mit den wissenschaftlichen Autoren um</w:t>
      </w:r>
      <w:r w:rsidR="00743A92">
        <w:t>ge</w:t>
      </w:r>
      <w:r w:rsidR="00F124A4">
        <w:t>set</w:t>
      </w:r>
      <w:r w:rsidR="00743A92">
        <w:t>zt haben</w:t>
      </w:r>
      <w:r w:rsidR="00F124A4">
        <w:t>,</w:t>
      </w:r>
      <w:r w:rsidR="00743A92">
        <w:t xml:space="preserve"> sollten in der Fort</w:t>
      </w:r>
      <w:r w:rsidR="006935D3">
        <w:t>entwicklung der digitalen Potenz</w:t>
      </w:r>
      <w:r w:rsidR="00743A92">
        <w:t>iale der Monographie ebe</w:t>
      </w:r>
      <w:r w:rsidR="00743A92">
        <w:t>n</w:t>
      </w:r>
      <w:r w:rsidR="00743A92">
        <w:t>falls eine Rolle spielen</w:t>
      </w:r>
      <w:r w:rsidR="00F124A4">
        <w:t xml:space="preserve">. </w:t>
      </w:r>
      <w:r w:rsidR="00ED70BC">
        <w:t xml:space="preserve">Im Rahmen einer entsprechenden Förderpolitik </w:t>
      </w:r>
      <w:r w:rsidR="00F124A4">
        <w:t>kön</w:t>
      </w:r>
      <w:r w:rsidR="00F124A4">
        <w:t>n</w:t>
      </w:r>
      <w:r w:rsidR="00F124A4">
        <w:t>ten diese Verlage</w:t>
      </w:r>
      <w:r w:rsidR="00ED70BC">
        <w:t xml:space="preserve"> i</w:t>
      </w:r>
      <w:r w:rsidR="00416D58">
        <w:t>m Rahmen von Digital-Humanities-</w:t>
      </w:r>
      <w:r w:rsidR="00ED70BC">
        <w:t>Projekten entlang den Anforderungen von Forschung und Gesellschaft solche Bereitstellungs- und Geschäftsmo</w:t>
      </w:r>
      <w:r w:rsidR="006935D3">
        <w:t>delle entwickeln, die die Potenz</w:t>
      </w:r>
      <w:r w:rsidR="00ED70BC">
        <w:t>iale des digitalen Arbeitens au</w:t>
      </w:r>
      <w:r w:rsidR="00ED70BC">
        <w:t>s</w:t>
      </w:r>
      <w:r w:rsidR="00ED70BC">
        <w:t>schöpfen und dabei alle vier genannten Funktionen des Publizierens gerecht werden</w:t>
      </w:r>
      <w:r w:rsidR="00743A92">
        <w:t>.</w:t>
      </w:r>
      <w:r w:rsidR="00ED70BC">
        <w:t xml:space="preserve"> </w:t>
      </w:r>
    </w:p>
    <w:p w:rsidR="0035673C" w:rsidRDefault="0035673C" w:rsidP="00107A8A">
      <w:pPr>
        <w:pStyle w:val="Lauftext"/>
      </w:pPr>
    </w:p>
    <w:p w:rsidR="0035673C" w:rsidRPr="00E340E3" w:rsidRDefault="0035673C" w:rsidP="0035673C">
      <w:r>
        <w:t xml:space="preserve">Wir danken Daniel </w:t>
      </w:r>
      <w:proofErr w:type="spellStart"/>
      <w:r>
        <w:t>Beucke</w:t>
      </w:r>
      <w:proofErr w:type="spellEnd"/>
      <w:r>
        <w:t xml:space="preserve">, Stefan </w:t>
      </w:r>
      <w:proofErr w:type="spellStart"/>
      <w:r>
        <w:t>Buddenbohm</w:t>
      </w:r>
      <w:proofErr w:type="spellEnd"/>
      <w:r>
        <w:t xml:space="preserve"> und Birgit Schmidt, deren Ideen und Beiträge in diesen Text eingeflossen sind. </w:t>
      </w:r>
    </w:p>
    <w:p w:rsidR="00A4398B" w:rsidRPr="00E376B0" w:rsidRDefault="00707A92" w:rsidP="00707A92">
      <w:pPr>
        <w:pStyle w:val="berschrift2"/>
      </w:pPr>
      <w:r>
        <w:t>Bibliographie</w:t>
      </w:r>
    </w:p>
    <w:p w:rsidR="00733191" w:rsidRPr="00416D58" w:rsidRDefault="008A4D3C" w:rsidP="00416D58">
      <w:pPr>
        <w:spacing w:before="40" w:line="200" w:lineRule="exact"/>
        <w:ind w:left="340" w:hanging="340"/>
        <w:jc w:val="left"/>
        <w:rPr>
          <w:sz w:val="18"/>
          <w:szCs w:val="18"/>
        </w:rPr>
      </w:pPr>
      <w:r>
        <w:rPr>
          <w:sz w:val="18"/>
          <w:szCs w:val="18"/>
        </w:rPr>
        <w:t>Chatzoudis, Georgios. 2012.</w:t>
      </w:r>
      <w:r w:rsidR="00733191" w:rsidRPr="00416D58">
        <w:rPr>
          <w:sz w:val="18"/>
          <w:szCs w:val="18"/>
        </w:rPr>
        <w:t xml:space="preserve"> </w:t>
      </w:r>
      <w:r w:rsidR="00733191" w:rsidRPr="00416D58">
        <w:rPr>
          <w:i/>
          <w:sz w:val="18"/>
          <w:szCs w:val="18"/>
        </w:rPr>
        <w:t>Open Access für wissenschaftliche Monographien</w:t>
      </w:r>
      <w:r w:rsidR="00733191" w:rsidRPr="00416D58">
        <w:rPr>
          <w:sz w:val="18"/>
          <w:szCs w:val="18"/>
        </w:rPr>
        <w:t>. Dokume</w:t>
      </w:r>
      <w:r w:rsidR="00733191" w:rsidRPr="00416D58">
        <w:rPr>
          <w:sz w:val="18"/>
          <w:szCs w:val="18"/>
        </w:rPr>
        <w:t>n</w:t>
      </w:r>
      <w:r w:rsidR="00733191" w:rsidRPr="00416D58">
        <w:rPr>
          <w:sz w:val="18"/>
          <w:szCs w:val="18"/>
        </w:rPr>
        <w:t>t</w:t>
      </w:r>
      <w:r>
        <w:rPr>
          <w:sz w:val="18"/>
          <w:szCs w:val="18"/>
        </w:rPr>
        <w:t>ation des DFG-Workshops vom 09.05.</w:t>
      </w:r>
      <w:r w:rsidR="00733191" w:rsidRPr="00416D58">
        <w:rPr>
          <w:sz w:val="18"/>
          <w:szCs w:val="18"/>
        </w:rPr>
        <w:t>2012, Niedersächsische Staats- und Univers</w:t>
      </w:r>
      <w:r w:rsidR="00733191" w:rsidRPr="00416D58">
        <w:rPr>
          <w:sz w:val="18"/>
          <w:szCs w:val="18"/>
        </w:rPr>
        <w:t>i</w:t>
      </w:r>
      <w:r w:rsidR="00733191" w:rsidRPr="00416D58">
        <w:rPr>
          <w:sz w:val="18"/>
          <w:szCs w:val="18"/>
        </w:rPr>
        <w:t xml:space="preserve">tätsbibliothek Göttingen. In. L.I.S.A Das Wissenschaftsportal der Gerda-Henkel-Stiftung: </w:t>
      </w:r>
      <w:hyperlink r:id="rId10" w:history="1">
        <w:r w:rsidR="00733191" w:rsidRPr="00416D58">
          <w:rPr>
            <w:rStyle w:val="Hyperlink"/>
            <w:sz w:val="18"/>
            <w:szCs w:val="18"/>
          </w:rPr>
          <w:t>http://www.lisa.gerda-henkel-stiftung.de/beitraege?what=tag&amp;search_tag=DFG+Workshop</w:t>
        </w:r>
      </w:hyperlink>
      <w:r w:rsidR="00733191" w:rsidRPr="00416D58">
        <w:rPr>
          <w:sz w:val="18"/>
          <w:szCs w:val="18"/>
        </w:rPr>
        <w:t xml:space="preserve"> </w:t>
      </w:r>
    </w:p>
    <w:p w:rsidR="003E7252" w:rsidRPr="00416D58" w:rsidRDefault="008A4D3C" w:rsidP="00416D58">
      <w:pPr>
        <w:spacing w:before="40" w:line="200" w:lineRule="exact"/>
        <w:ind w:left="340" w:hanging="340"/>
        <w:jc w:val="left"/>
        <w:rPr>
          <w:sz w:val="18"/>
          <w:szCs w:val="18"/>
        </w:rPr>
      </w:pPr>
      <w:r>
        <w:rPr>
          <w:sz w:val="18"/>
          <w:szCs w:val="18"/>
          <w:lang w:val="en-US"/>
        </w:rPr>
        <w:t>Cuban, Larry. 2015.</w:t>
      </w:r>
      <w:r w:rsidR="00571D88" w:rsidRPr="00416D58">
        <w:rPr>
          <w:sz w:val="18"/>
          <w:szCs w:val="18"/>
          <w:lang w:val="en-US"/>
        </w:rPr>
        <w:t xml:space="preserve"> School Reform and Classroom Practice: The Dilemma of Fast, Cheap, and Good: You Can Only Pick Two. </w:t>
      </w:r>
      <w:proofErr w:type="gramStart"/>
      <w:r w:rsidR="00571D88" w:rsidRPr="008A4D3C">
        <w:rPr>
          <w:sz w:val="18"/>
          <w:szCs w:val="18"/>
          <w:lang w:val="en-US"/>
        </w:rPr>
        <w:t>National Education Policy Center.</w:t>
      </w:r>
      <w:proofErr w:type="gramEnd"/>
      <w:r w:rsidR="00571D88" w:rsidRPr="008A4D3C">
        <w:rPr>
          <w:sz w:val="18"/>
          <w:szCs w:val="18"/>
          <w:lang w:val="en-US"/>
        </w:rPr>
        <w:t xml:space="preserve"> </w:t>
      </w:r>
      <w:hyperlink r:id="rId11" w:history="1">
        <w:r w:rsidR="00571D88" w:rsidRPr="008A4D3C">
          <w:rPr>
            <w:rStyle w:val="Hyperlink"/>
            <w:sz w:val="18"/>
            <w:szCs w:val="18"/>
          </w:rPr>
          <w:t>http://nepc.colorado.edu/blog/d</w:t>
        </w:r>
        <w:r w:rsidR="00571D88" w:rsidRPr="00416D58">
          <w:rPr>
            <w:rStyle w:val="Hyperlink"/>
            <w:sz w:val="18"/>
            <w:szCs w:val="18"/>
          </w:rPr>
          <w:t>ilemma-fast-cheap</w:t>
        </w:r>
      </w:hyperlink>
      <w:r w:rsidR="00571D88" w:rsidRPr="00416D58">
        <w:rPr>
          <w:sz w:val="18"/>
          <w:szCs w:val="18"/>
        </w:rPr>
        <w:t xml:space="preserve"> </w:t>
      </w:r>
    </w:p>
    <w:p w:rsidR="00644614" w:rsidRPr="00416D58" w:rsidRDefault="00644614" w:rsidP="00416D58">
      <w:pPr>
        <w:spacing w:before="40" w:line="200" w:lineRule="exact"/>
        <w:ind w:left="340" w:hanging="340"/>
        <w:jc w:val="left"/>
        <w:rPr>
          <w:sz w:val="18"/>
          <w:szCs w:val="18"/>
        </w:rPr>
      </w:pPr>
      <w:r w:rsidRPr="00416D58">
        <w:rPr>
          <w:sz w:val="18"/>
          <w:szCs w:val="18"/>
        </w:rPr>
        <w:t>Dallmeier-Tiessen</w:t>
      </w:r>
      <w:r w:rsidR="008A4D3C">
        <w:rPr>
          <w:sz w:val="18"/>
          <w:szCs w:val="18"/>
        </w:rPr>
        <w:t xml:space="preserve">, Sünje und Anja Lengenfelder. 2011. </w:t>
      </w:r>
      <w:r w:rsidRPr="00416D58">
        <w:rPr>
          <w:sz w:val="18"/>
          <w:szCs w:val="18"/>
        </w:rPr>
        <w:t>Open Access in der deutschen Wissenschaft – Ergebnisse des EU-Projekts „Study of</w:t>
      </w:r>
      <w:r w:rsidR="008A4D3C">
        <w:rPr>
          <w:sz w:val="18"/>
          <w:szCs w:val="18"/>
        </w:rPr>
        <w:t xml:space="preserve"> Open Access Publishing“ (SOAP)</w:t>
      </w:r>
      <w:r w:rsidRPr="00416D58">
        <w:rPr>
          <w:sz w:val="18"/>
          <w:szCs w:val="18"/>
        </w:rPr>
        <w:t xml:space="preserve">, in </w:t>
      </w:r>
      <w:r w:rsidRPr="008A4D3C">
        <w:rPr>
          <w:i/>
          <w:sz w:val="18"/>
          <w:szCs w:val="18"/>
        </w:rPr>
        <w:t>GMS Med Bibl Inf 2011</w:t>
      </w:r>
      <w:r w:rsidR="008A4D3C">
        <w:rPr>
          <w:sz w:val="18"/>
          <w:szCs w:val="18"/>
        </w:rPr>
        <w:t>.11. 1-2</w:t>
      </w:r>
      <w:r w:rsidRPr="00416D58">
        <w:rPr>
          <w:sz w:val="18"/>
          <w:szCs w:val="18"/>
        </w:rPr>
        <w:t xml:space="preserve">:Doc03.doi: 10.3205/mbi000218 </w:t>
      </w:r>
    </w:p>
    <w:p w:rsidR="00A4398B" w:rsidRPr="008A4D3C" w:rsidRDefault="00A4398B" w:rsidP="00416D58">
      <w:pPr>
        <w:spacing w:before="40" w:line="200" w:lineRule="exact"/>
        <w:ind w:left="340" w:hanging="340"/>
        <w:jc w:val="left"/>
        <w:rPr>
          <w:sz w:val="18"/>
          <w:szCs w:val="18"/>
          <w:lang w:val="en-US"/>
        </w:rPr>
      </w:pPr>
      <w:proofErr w:type="gramStart"/>
      <w:r w:rsidRPr="00416D58">
        <w:rPr>
          <w:sz w:val="18"/>
          <w:szCs w:val="18"/>
          <w:lang w:val="en-US"/>
        </w:rPr>
        <w:t xml:space="preserve">Greco, A.N. and </w:t>
      </w:r>
      <w:r w:rsidR="008A4D3C">
        <w:rPr>
          <w:sz w:val="18"/>
          <w:szCs w:val="18"/>
          <w:lang w:val="en-US"/>
        </w:rPr>
        <w:t>R. M. Wharton.</w:t>
      </w:r>
      <w:proofErr w:type="gramEnd"/>
      <w:r w:rsidR="008A4D3C">
        <w:rPr>
          <w:sz w:val="18"/>
          <w:szCs w:val="18"/>
          <w:lang w:val="en-US"/>
        </w:rPr>
        <w:t xml:space="preserve"> 2008.</w:t>
      </w:r>
      <w:r w:rsidRPr="00416D58">
        <w:rPr>
          <w:sz w:val="18"/>
          <w:szCs w:val="18"/>
          <w:lang w:val="en-US"/>
        </w:rPr>
        <w:t xml:space="preserve"> </w:t>
      </w:r>
      <w:r w:rsidRPr="00416D58">
        <w:rPr>
          <w:i/>
          <w:sz w:val="18"/>
          <w:szCs w:val="18"/>
          <w:lang w:val="en-US"/>
        </w:rPr>
        <w:t>Should University Presses Adopt an Open Access [electronic Publishing] Business Model for All of Their Scholarly Books?</w:t>
      </w:r>
      <w:r w:rsidRPr="00416D58">
        <w:rPr>
          <w:sz w:val="18"/>
          <w:szCs w:val="18"/>
          <w:lang w:val="en-US"/>
        </w:rPr>
        <w:t xml:space="preserve"> </w:t>
      </w:r>
      <w:proofErr w:type="gramStart"/>
      <w:r w:rsidRPr="00416D58">
        <w:rPr>
          <w:sz w:val="18"/>
          <w:szCs w:val="18"/>
          <w:lang w:val="en-US"/>
        </w:rPr>
        <w:t>in</w:t>
      </w:r>
      <w:proofErr w:type="gramEnd"/>
      <w:r w:rsidRPr="00416D58">
        <w:rPr>
          <w:sz w:val="18"/>
          <w:szCs w:val="18"/>
          <w:lang w:val="en-US"/>
        </w:rPr>
        <w:t xml:space="preserve"> Chan, L. and Mornati, S. (Hg) </w:t>
      </w:r>
      <w:r w:rsidRPr="00416D58">
        <w:rPr>
          <w:i/>
          <w:sz w:val="18"/>
          <w:szCs w:val="18"/>
          <w:lang w:val="en-US"/>
        </w:rPr>
        <w:t>Proceedings of the 12th International Conference on Electronic Publishing, ‘ELPUB2008, Toronto. Open Scholarship: Authority, Community, and Sustainability in the Age of Web 2.0’</w:t>
      </w:r>
      <w:r w:rsidR="008A4D3C">
        <w:rPr>
          <w:sz w:val="18"/>
          <w:szCs w:val="18"/>
          <w:lang w:val="en-US"/>
        </w:rPr>
        <w:t>.</w:t>
      </w:r>
      <w:r w:rsidRPr="008A4D3C">
        <w:rPr>
          <w:sz w:val="18"/>
          <w:szCs w:val="18"/>
          <w:lang w:val="en-US"/>
        </w:rPr>
        <w:t xml:space="preserve"> </w:t>
      </w:r>
      <w:proofErr w:type="gramStart"/>
      <w:r w:rsidRPr="008A4D3C">
        <w:rPr>
          <w:sz w:val="18"/>
          <w:szCs w:val="18"/>
          <w:lang w:val="en-US"/>
        </w:rPr>
        <w:t>149–164.</w:t>
      </w:r>
      <w:proofErr w:type="gramEnd"/>
      <w:r w:rsidRPr="008A4D3C">
        <w:rPr>
          <w:sz w:val="18"/>
          <w:szCs w:val="18"/>
          <w:lang w:val="en-US"/>
        </w:rPr>
        <w:t xml:space="preserve"> </w:t>
      </w:r>
      <w:hyperlink r:id="rId12" w:history="1">
        <w:r w:rsidRPr="008A4D3C">
          <w:rPr>
            <w:rStyle w:val="Hyperlink"/>
            <w:sz w:val="18"/>
            <w:szCs w:val="18"/>
            <w:lang w:val="en-US"/>
          </w:rPr>
          <w:t>http://elpub.scix.net/data/works/att/149_elpub2008.content.pdf</w:t>
        </w:r>
      </w:hyperlink>
      <w:r w:rsidRPr="008A4D3C">
        <w:rPr>
          <w:sz w:val="18"/>
          <w:szCs w:val="18"/>
          <w:lang w:val="en-US"/>
        </w:rPr>
        <w:t xml:space="preserve"> </w:t>
      </w:r>
    </w:p>
    <w:p w:rsidR="00A4398B" w:rsidRPr="00416D58" w:rsidRDefault="00A4398B" w:rsidP="00416D58">
      <w:pPr>
        <w:spacing w:before="40" w:line="200" w:lineRule="exact"/>
        <w:ind w:left="340" w:hanging="340"/>
        <w:jc w:val="left"/>
        <w:rPr>
          <w:sz w:val="18"/>
          <w:szCs w:val="18"/>
          <w:lang w:val="en-US"/>
        </w:rPr>
      </w:pPr>
      <w:proofErr w:type="gramStart"/>
      <w:r w:rsidRPr="00416D58">
        <w:rPr>
          <w:sz w:val="18"/>
          <w:szCs w:val="18"/>
          <w:lang w:val="en-GB"/>
        </w:rPr>
        <w:t xml:space="preserve">Roosendaal, H.E. and </w:t>
      </w:r>
      <w:r w:rsidR="008A4D3C">
        <w:rPr>
          <w:sz w:val="18"/>
          <w:szCs w:val="18"/>
          <w:lang w:val="en-GB"/>
        </w:rPr>
        <w:t>P. A. Th. Geurts</w:t>
      </w:r>
      <w:r w:rsidR="00C70387">
        <w:rPr>
          <w:sz w:val="18"/>
          <w:szCs w:val="18"/>
          <w:lang w:val="en-GB"/>
        </w:rPr>
        <w:t>.</w:t>
      </w:r>
      <w:proofErr w:type="gramEnd"/>
      <w:r w:rsidR="00C70387">
        <w:rPr>
          <w:sz w:val="18"/>
          <w:szCs w:val="18"/>
          <w:lang w:val="en-GB"/>
        </w:rPr>
        <w:t xml:space="preserve"> 1997</w:t>
      </w:r>
      <w:r w:rsidR="008A4D3C">
        <w:rPr>
          <w:sz w:val="18"/>
          <w:szCs w:val="18"/>
          <w:lang w:val="en-GB"/>
        </w:rPr>
        <w:t>.</w:t>
      </w:r>
      <w:r w:rsidRPr="00416D58">
        <w:rPr>
          <w:sz w:val="18"/>
          <w:szCs w:val="18"/>
          <w:lang w:val="en-GB"/>
        </w:rPr>
        <w:t xml:space="preserve"> </w:t>
      </w:r>
      <w:r w:rsidRPr="00416D58">
        <w:rPr>
          <w:i/>
          <w:sz w:val="18"/>
          <w:szCs w:val="18"/>
          <w:lang w:val="en-GB"/>
        </w:rPr>
        <w:t>Forces and functions in scientific commun</w:t>
      </w:r>
      <w:r w:rsidRPr="00416D58">
        <w:rPr>
          <w:i/>
          <w:sz w:val="18"/>
          <w:szCs w:val="18"/>
          <w:lang w:val="en-GB"/>
        </w:rPr>
        <w:t>i</w:t>
      </w:r>
      <w:r w:rsidRPr="00416D58">
        <w:rPr>
          <w:i/>
          <w:sz w:val="18"/>
          <w:szCs w:val="18"/>
          <w:lang w:val="en-GB"/>
        </w:rPr>
        <w:t>cation: an analysis of their interplay</w:t>
      </w:r>
      <w:r w:rsidRPr="00416D58">
        <w:rPr>
          <w:sz w:val="18"/>
          <w:szCs w:val="18"/>
          <w:lang w:val="en-GB"/>
        </w:rPr>
        <w:t xml:space="preserve">. </w:t>
      </w:r>
      <w:proofErr w:type="gramStart"/>
      <w:r w:rsidRPr="00416D58">
        <w:rPr>
          <w:sz w:val="18"/>
          <w:szCs w:val="18"/>
          <w:lang w:val="en-GB"/>
        </w:rPr>
        <w:t>in</w:t>
      </w:r>
      <w:proofErr w:type="gramEnd"/>
      <w:r w:rsidRPr="00416D58">
        <w:rPr>
          <w:sz w:val="18"/>
          <w:szCs w:val="18"/>
          <w:lang w:val="en-GB"/>
        </w:rPr>
        <w:t xml:space="preserve"> Karttunen, M., Holmlund, K., Hilf, E.R. (eds.) </w:t>
      </w:r>
      <w:r w:rsidRPr="00416D58">
        <w:rPr>
          <w:i/>
          <w:sz w:val="18"/>
          <w:szCs w:val="18"/>
          <w:lang w:val="en-GB"/>
        </w:rPr>
        <w:t>CRISP 97 Cooperative Research Information Systems in Physics</w:t>
      </w:r>
      <w:r w:rsidRPr="00416D58">
        <w:rPr>
          <w:sz w:val="18"/>
          <w:szCs w:val="18"/>
          <w:lang w:val="en-GB"/>
        </w:rPr>
        <w:t xml:space="preserve">. </w:t>
      </w:r>
      <w:hyperlink r:id="rId13" w:history="1">
        <w:r w:rsidRPr="00416D58">
          <w:rPr>
            <w:rStyle w:val="Hyperlink"/>
            <w:spacing w:val="-6"/>
            <w:sz w:val="18"/>
            <w:szCs w:val="18"/>
            <w:lang w:val="en-US"/>
          </w:rPr>
          <w:t>http://www.physik.uni-oldenburg.de/conferences/crisp97/roosendaal.html</w:t>
        </w:r>
      </w:hyperlink>
      <w:r w:rsidRPr="00416D58">
        <w:rPr>
          <w:spacing w:val="-6"/>
          <w:sz w:val="18"/>
          <w:szCs w:val="18"/>
          <w:lang w:val="en-US"/>
        </w:rPr>
        <w:t xml:space="preserve"> </w:t>
      </w:r>
    </w:p>
    <w:p w:rsidR="00566143" w:rsidRPr="00416D58" w:rsidRDefault="008A4D3C" w:rsidP="00416D58">
      <w:pPr>
        <w:pStyle w:val="Grundschrift"/>
        <w:spacing w:before="40" w:line="200" w:lineRule="exact"/>
        <w:ind w:left="340" w:hanging="340"/>
        <w:rPr>
          <w:sz w:val="18"/>
          <w:szCs w:val="18"/>
        </w:rPr>
      </w:pPr>
      <w:r>
        <w:rPr>
          <w:sz w:val="18"/>
          <w:szCs w:val="18"/>
          <w:lang w:val="en-US"/>
        </w:rPr>
        <w:t>Straumsheim, Carl. 2015.</w:t>
      </w:r>
      <w:r w:rsidR="00566143" w:rsidRPr="00416D58">
        <w:rPr>
          <w:sz w:val="18"/>
          <w:szCs w:val="18"/>
          <w:lang w:val="en-US"/>
        </w:rPr>
        <w:t xml:space="preserve"> </w:t>
      </w:r>
      <w:r w:rsidR="00566143" w:rsidRPr="00416D58">
        <w:rPr>
          <w:i/>
          <w:sz w:val="18"/>
          <w:szCs w:val="18"/>
          <w:lang w:val="en-US"/>
        </w:rPr>
        <w:t>Piecing Together Publishing</w:t>
      </w:r>
      <w:r w:rsidR="00566143" w:rsidRPr="00416D58">
        <w:rPr>
          <w:sz w:val="18"/>
          <w:szCs w:val="18"/>
          <w:lang w:val="en-US"/>
        </w:rPr>
        <w:t xml:space="preserve">. </w:t>
      </w:r>
      <w:proofErr w:type="gramStart"/>
      <w:r w:rsidR="00566143" w:rsidRPr="008A4D3C">
        <w:rPr>
          <w:sz w:val="18"/>
          <w:szCs w:val="18"/>
          <w:lang w:val="en-US"/>
        </w:rPr>
        <w:t>In Inside Higer Ed, Feb. 2015</w:t>
      </w:r>
      <w:r w:rsidR="00ED70BC" w:rsidRPr="008A4D3C">
        <w:rPr>
          <w:sz w:val="18"/>
          <w:szCs w:val="18"/>
          <w:lang w:val="en-US"/>
        </w:rPr>
        <w:t>.</w:t>
      </w:r>
      <w:proofErr w:type="gramEnd"/>
      <w:r w:rsidR="00ED70BC" w:rsidRPr="008A4D3C">
        <w:rPr>
          <w:sz w:val="18"/>
          <w:szCs w:val="18"/>
          <w:lang w:val="en-US"/>
        </w:rPr>
        <w:t xml:space="preserve"> </w:t>
      </w:r>
      <w:hyperlink r:id="rId14" w:history="1">
        <w:r w:rsidR="00ED70BC" w:rsidRPr="00416D58">
          <w:rPr>
            <w:rStyle w:val="Hyperlink"/>
            <w:sz w:val="18"/>
            <w:szCs w:val="18"/>
          </w:rPr>
          <w:t>https://www.insidehighered.com/news/2015/02/25/researchers-university-press-directors-emboldened-mellon-foundation-interest</w:t>
        </w:r>
      </w:hyperlink>
      <w:r>
        <w:rPr>
          <w:sz w:val="18"/>
          <w:szCs w:val="18"/>
        </w:rPr>
        <w:t xml:space="preserve"> </w:t>
      </w:r>
    </w:p>
    <w:sectPr w:rsidR="00566143" w:rsidRPr="00416D58" w:rsidSect="003F04BA">
      <w:headerReference w:type="even" r:id="rId15"/>
      <w:headerReference w:type="default" r:id="rId16"/>
      <w:type w:val="oddPage"/>
      <w:pgSz w:w="11907" w:h="16840" w:code="9"/>
      <w:pgMar w:top="680" w:right="2637" w:bottom="4820" w:left="2637" w:header="680" w:footer="0" w:gutter="0"/>
      <w:pgNumType w:start="1"/>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303BB8" w15:done="0"/>
  <w15:commentEx w15:paraId="4A20D249" w15:done="0"/>
  <w15:commentEx w15:paraId="5911D323" w15:done="0"/>
  <w15:commentEx w15:paraId="186BE724" w15:done="0"/>
  <w15:commentEx w15:paraId="3264319C" w15:done="0"/>
  <w15:commentEx w15:paraId="4C0C8C91" w15:done="0"/>
  <w15:commentEx w15:paraId="29535B0F" w15:done="0"/>
  <w15:commentEx w15:paraId="1F2D3A5D" w15:done="0"/>
  <w15:commentEx w15:paraId="6457A8B0" w15:done="0"/>
  <w15:commentEx w15:paraId="62954BBA" w15:done="0"/>
  <w15:commentEx w15:paraId="7696ADB3" w15:done="0"/>
  <w15:commentEx w15:paraId="60BA34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4B2" w:rsidRDefault="006774B2" w:rsidP="00F97C9A">
      <w:pPr>
        <w:spacing w:line="240" w:lineRule="auto"/>
      </w:pPr>
      <w:r>
        <w:separator/>
      </w:r>
    </w:p>
  </w:endnote>
  <w:endnote w:type="continuationSeparator" w:id="0">
    <w:p w:rsidR="006774B2" w:rsidRDefault="006774B2" w:rsidP="00F97C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4B2" w:rsidRDefault="006774B2" w:rsidP="00F97C9A">
      <w:pPr>
        <w:spacing w:line="240" w:lineRule="auto"/>
      </w:pPr>
      <w:r>
        <w:separator/>
      </w:r>
    </w:p>
  </w:footnote>
  <w:footnote w:type="continuationSeparator" w:id="0">
    <w:p w:rsidR="006774B2" w:rsidRDefault="006774B2" w:rsidP="00F97C9A">
      <w:pPr>
        <w:spacing w:line="240" w:lineRule="auto"/>
      </w:pPr>
      <w:r>
        <w:continuationSeparator/>
      </w:r>
    </w:p>
  </w:footnote>
  <w:footnote w:id="1">
    <w:p w:rsidR="006774B2" w:rsidRDefault="006774B2" w:rsidP="00F33ED3">
      <w:pPr>
        <w:pStyle w:val="Funotentext"/>
        <w:tabs>
          <w:tab w:val="left" w:pos="0"/>
        </w:tabs>
        <w:spacing w:before="20" w:line="190" w:lineRule="exact"/>
        <w:ind w:left="340" w:hanging="340"/>
      </w:pPr>
      <w:r>
        <w:rPr>
          <w:rStyle w:val="Funotenzeichen"/>
          <w:rFonts w:eastAsiaTheme="majorEastAsia"/>
        </w:rPr>
        <w:footnoteRef/>
      </w:r>
      <w:r>
        <w:t xml:space="preserve"> Der Begriff „Monographie“ wird entsprechend der bibliographischen Definition verwendet, die in Abgrenzung zu Periodika ohne Stücktitel wie Jahrbücher oder zeitschriftenähnliche B</w:t>
      </w:r>
      <w:r>
        <w:t>ü</w:t>
      </w:r>
      <w:r>
        <w:t xml:space="preserve">cher verwendet wird. </w:t>
      </w:r>
      <w:r w:rsidR="0035673C">
        <w:t>Daru</w:t>
      </w:r>
      <w:r>
        <w:t>nter fallen demnach Sammelbände mit Stücktitel, Publ</w:t>
      </w:r>
      <w:r>
        <w:t>i</w:t>
      </w:r>
      <w:r>
        <w:t>kationen von Einzelautoren – die im allg</w:t>
      </w:r>
      <w:r w:rsidR="0035673C">
        <w:t>.</w:t>
      </w:r>
      <w:r>
        <w:t xml:space="preserve"> Sprachgebrauch und entsprechend der griechischen Wurzel </w:t>
      </w:r>
      <w:r w:rsidRPr="001E6DAE">
        <w:t>γράψει μόνος</w:t>
      </w:r>
      <w:r>
        <w:t xml:space="preserve"> des Wortes eine Monographie wären – und Werke mit </w:t>
      </w:r>
      <w:proofErr w:type="spellStart"/>
      <w:r>
        <w:t>Mehrautore</w:t>
      </w:r>
      <w:r>
        <w:t>n</w:t>
      </w:r>
      <w:r>
        <w:t>schaft</w:t>
      </w:r>
      <w:proofErr w:type="spellEnd"/>
      <w:r>
        <w:t>.</w:t>
      </w:r>
      <w:r w:rsidR="00A44C56">
        <w:t xml:space="preserve"> </w:t>
      </w:r>
    </w:p>
  </w:footnote>
  <w:footnote w:id="2">
    <w:p w:rsidR="006774B2" w:rsidRDefault="006774B2" w:rsidP="00F33ED3">
      <w:pPr>
        <w:pStyle w:val="Funotentext"/>
        <w:spacing w:before="20" w:line="190" w:lineRule="exact"/>
        <w:ind w:left="340" w:hanging="340"/>
      </w:pPr>
      <w:r>
        <w:rPr>
          <w:rStyle w:val="Funotenzeichen"/>
        </w:rPr>
        <w:footnoteRef/>
      </w:r>
      <w:r>
        <w:t xml:space="preserve"> S</w:t>
      </w:r>
      <w:r w:rsidRPr="00E42A93">
        <w:t>iehe die versuchte Neuauflage de</w:t>
      </w:r>
      <w:r>
        <w:t>s</w:t>
      </w:r>
      <w:r w:rsidRPr="00E42A93">
        <w:t xml:space="preserve"> </w:t>
      </w:r>
      <w:r>
        <w:t>„Heidelberger Appell“ von 2009</w:t>
      </w:r>
      <w:r w:rsidRPr="00E42A93">
        <w:t xml:space="preserve"> im FAZ-Feuilleton </w:t>
      </w:r>
      <w:r>
        <w:t>mit der Polemik von 13.10.</w:t>
      </w:r>
      <w:r w:rsidRPr="00E42A93">
        <w:t>2015 „Ei</w:t>
      </w:r>
      <w:r>
        <w:t>ne Kriegserklärung an das Buch“, außerdem der lesenswe</w:t>
      </w:r>
      <w:r>
        <w:t>r</w:t>
      </w:r>
      <w:r>
        <w:t xml:space="preserve">te Beitrag von Scott Sherman „University Presses </w:t>
      </w:r>
      <w:proofErr w:type="spellStart"/>
      <w:r>
        <w:t>under</w:t>
      </w:r>
      <w:proofErr w:type="spellEnd"/>
      <w:r>
        <w:t xml:space="preserve"> </w:t>
      </w:r>
      <w:proofErr w:type="spellStart"/>
      <w:r>
        <w:t>Fire</w:t>
      </w:r>
      <w:proofErr w:type="spellEnd"/>
      <w:r>
        <w:t xml:space="preserve">“ </w:t>
      </w:r>
      <w:hyperlink r:id="rId1" w:history="1">
        <w:r w:rsidRPr="00CB40B5">
          <w:rPr>
            <w:rStyle w:val="Hyperlink"/>
          </w:rPr>
          <w:t>http://www.thenation.com/article/university-presses-under-fire/</w:t>
        </w:r>
      </w:hyperlink>
      <w:r>
        <w:t xml:space="preserve"> [letzter Zugriff 23.10.2015].</w:t>
      </w:r>
    </w:p>
  </w:footnote>
  <w:footnote w:id="3">
    <w:p w:rsidR="006774B2" w:rsidRDefault="006774B2" w:rsidP="00F33ED3">
      <w:pPr>
        <w:pStyle w:val="Funotentext"/>
        <w:spacing w:before="20" w:line="190" w:lineRule="exact"/>
        <w:ind w:left="340" w:hanging="340"/>
      </w:pPr>
      <w:r>
        <w:rPr>
          <w:rStyle w:val="Funotenzeichen"/>
          <w:rFonts w:eastAsiaTheme="majorEastAsia"/>
        </w:rPr>
        <w:footnoteRef/>
      </w:r>
      <w:r>
        <w:t xml:space="preserve"> Wir verstehen alle Personenbezeichnungen als genderneutral, obwohl im Bereich der Wisse</w:t>
      </w:r>
      <w:r>
        <w:t>n</w:t>
      </w:r>
      <w:r>
        <w:t>schaftskommunikation keine ausgeglichenen Genderverhältnisse herrschen. Die Verwe</w:t>
      </w:r>
      <w:r>
        <w:t>n</w:t>
      </w:r>
      <w:r>
        <w:t>dung der maskulinen Form ist lediglich der vereinfachten Lesbarkeit geschuldet.</w:t>
      </w:r>
    </w:p>
  </w:footnote>
  <w:footnote w:id="4">
    <w:p w:rsidR="006774B2" w:rsidRDefault="006774B2" w:rsidP="00F33ED3">
      <w:pPr>
        <w:pStyle w:val="Funotentext"/>
        <w:spacing w:before="20" w:line="190" w:lineRule="exact"/>
        <w:ind w:left="340" w:hanging="340"/>
      </w:pPr>
      <w:r>
        <w:rPr>
          <w:rStyle w:val="Funotenzeichen"/>
        </w:rPr>
        <w:footnoteRef/>
      </w:r>
      <w:r>
        <w:t xml:space="preserve"> Auch der Zertifizierungsprozess befindet sich im Wandel, siehe neuere Verfahren wie Open Peer Review, Review-Plattformen wie </w:t>
      </w:r>
      <w:r w:rsidRPr="00424456">
        <w:rPr>
          <w:i/>
        </w:rPr>
        <w:t>Publons</w:t>
      </w:r>
      <w:r>
        <w:t xml:space="preserve"> oder </w:t>
      </w:r>
      <w:r w:rsidRPr="00424456">
        <w:rPr>
          <w:i/>
        </w:rPr>
        <w:t>The Winnower</w:t>
      </w:r>
      <w:r>
        <w:rPr>
          <w:i/>
        </w:rPr>
        <w:t>.</w:t>
      </w:r>
    </w:p>
  </w:footnote>
  <w:footnote w:id="5">
    <w:p w:rsidR="006774B2" w:rsidRDefault="006774B2" w:rsidP="00F33ED3">
      <w:pPr>
        <w:pStyle w:val="Funotentext"/>
        <w:spacing w:before="20" w:line="190" w:lineRule="exact"/>
        <w:ind w:left="340" w:hanging="340"/>
      </w:pPr>
      <w:r>
        <w:rPr>
          <w:rStyle w:val="Funotenzeichen"/>
        </w:rPr>
        <w:footnoteRef/>
      </w:r>
      <w:r>
        <w:t xml:space="preserve"> Siehe dazu die Nutzerbefragung 2014 an der SUB Göttingen, </w:t>
      </w:r>
      <w:hyperlink r:id="rId2" w:history="1">
        <w:r w:rsidRPr="00CB40B5">
          <w:rPr>
            <w:rStyle w:val="Hyperlink"/>
          </w:rPr>
          <w:t>http://www.sub.uni-goettingen.de/wir-ueber-uns/nutzerbefragung-2014/</w:t>
        </w:r>
      </w:hyperlink>
      <w:r>
        <w:t xml:space="preserve"> [letzter Zugriff 23.10.2015].</w:t>
      </w:r>
    </w:p>
  </w:footnote>
  <w:footnote w:id="6">
    <w:p w:rsidR="006774B2" w:rsidRDefault="006774B2" w:rsidP="00F33ED3">
      <w:pPr>
        <w:pStyle w:val="Funotentext"/>
        <w:spacing w:before="20" w:line="190" w:lineRule="exact"/>
        <w:ind w:left="340" w:hanging="340"/>
      </w:pPr>
      <w:r>
        <w:rPr>
          <w:rStyle w:val="Funotenzeichen"/>
        </w:rPr>
        <w:footnoteRef/>
      </w:r>
      <w:r>
        <w:t xml:space="preserve"> Z.B. in 2015 Lucius&amp;</w:t>
      </w:r>
      <w:r w:rsidRPr="00980DBE">
        <w:t>Lucius zu de Gruyter, J.B. Metzler zur aus Springer SBM und der Nature Publishing Group fusionierten Holding SpringerNature</w:t>
      </w:r>
      <w:r>
        <w:t>.</w:t>
      </w:r>
    </w:p>
  </w:footnote>
  <w:footnote w:id="7">
    <w:p w:rsidR="006774B2" w:rsidRPr="008C526F" w:rsidRDefault="006774B2" w:rsidP="00F33ED3">
      <w:pPr>
        <w:pStyle w:val="Funotentext"/>
        <w:spacing w:before="20" w:line="190" w:lineRule="exact"/>
        <w:ind w:left="340" w:hanging="340"/>
      </w:pPr>
      <w:r>
        <w:rPr>
          <w:rStyle w:val="Funotenzeichen"/>
          <w:rFonts w:eastAsiaTheme="majorEastAsia"/>
        </w:rPr>
        <w:footnoteRef/>
      </w:r>
      <w:r w:rsidRPr="008C526F">
        <w:t xml:space="preserve"> Siehe Abschnitt 2.</w:t>
      </w:r>
      <w:r>
        <w:t>3 in Dallmeier-Tiessen et al 2011.</w:t>
      </w:r>
      <w:r w:rsidRPr="008C526F">
        <w:t xml:space="preserve"> </w:t>
      </w:r>
    </w:p>
  </w:footnote>
  <w:footnote w:id="8">
    <w:p w:rsidR="006774B2" w:rsidRDefault="006774B2" w:rsidP="00F33ED3">
      <w:pPr>
        <w:pStyle w:val="Funotentext"/>
        <w:spacing w:before="20" w:line="190" w:lineRule="exact"/>
        <w:ind w:left="340" w:hanging="340"/>
      </w:pPr>
      <w:r>
        <w:rPr>
          <w:rStyle w:val="Funotenzeichen"/>
          <w:rFonts w:eastAsiaTheme="majorEastAsia"/>
        </w:rPr>
        <w:footnoteRef/>
      </w:r>
      <w:r>
        <w:t xml:space="preserve"> </w:t>
      </w:r>
      <w:hyperlink r:id="rId3" w:history="1">
        <w:r w:rsidRPr="00DD4032">
          <w:rPr>
            <w:rStyle w:val="Hyperlink"/>
          </w:rPr>
          <w:t>https://www.openlibhums.org/</w:t>
        </w:r>
      </w:hyperlink>
      <w:r>
        <w:t xml:space="preserve"> </w:t>
      </w:r>
    </w:p>
  </w:footnote>
  <w:footnote w:id="9">
    <w:p w:rsidR="006774B2" w:rsidRDefault="006774B2" w:rsidP="00F33ED3">
      <w:pPr>
        <w:pStyle w:val="Funotentext"/>
        <w:spacing w:before="20" w:line="190" w:lineRule="exact"/>
        <w:ind w:left="340" w:hanging="340"/>
      </w:pPr>
      <w:r>
        <w:rPr>
          <w:rStyle w:val="Funotenzeichen"/>
        </w:rPr>
        <w:footnoteRef/>
      </w:r>
      <w:r>
        <w:t xml:space="preserve"> Auch wir haben diesen Beitrag mit einer Formatvorlage des Verlags selbst gesetzt.</w:t>
      </w:r>
    </w:p>
  </w:footnote>
  <w:footnote w:id="10">
    <w:p w:rsidR="006774B2" w:rsidRDefault="006774B2" w:rsidP="00F33ED3">
      <w:pPr>
        <w:pStyle w:val="Funotentext"/>
        <w:spacing w:before="20" w:line="190" w:lineRule="exact"/>
        <w:ind w:left="340" w:hanging="340"/>
      </w:pPr>
      <w:r>
        <w:rPr>
          <w:rStyle w:val="Funotenzeichen"/>
          <w:rFonts w:eastAsiaTheme="majorEastAsia"/>
        </w:rPr>
        <w:footnoteRef/>
      </w:r>
      <w:r>
        <w:t xml:space="preserve"> Hierzu eine Befragung von Wissenschaftlern im Frühjahr 2012 im Rahmen des OAPEN-UK-Pilots: </w:t>
      </w:r>
      <w:hyperlink r:id="rId4" w:history="1">
        <w:r w:rsidRPr="00DD4032">
          <w:rPr>
            <w:rStyle w:val="Hyperlink"/>
          </w:rPr>
          <w:t>http://oapen-uk.jiscebooks.org/research-findings/researchersurvey/</w:t>
        </w:r>
      </w:hyperlink>
      <w:r>
        <w:t>.</w:t>
      </w:r>
    </w:p>
  </w:footnote>
  <w:footnote w:id="11">
    <w:p w:rsidR="006774B2" w:rsidRDefault="006774B2" w:rsidP="00F33ED3">
      <w:pPr>
        <w:pStyle w:val="Funotentext"/>
        <w:spacing w:before="20" w:line="190" w:lineRule="exact"/>
        <w:ind w:left="340" w:hanging="340"/>
      </w:pPr>
      <w:r>
        <w:rPr>
          <w:rStyle w:val="Funotenzeichen"/>
        </w:rPr>
        <w:footnoteRef/>
      </w:r>
      <w:r>
        <w:t xml:space="preserve"> Siehe dazu zum Beispiel die Vortragsaufzeichnung des Historikers Olaf Blaschke auf dem Historikertag 2014 in Göttingen, Youtube: </w:t>
      </w:r>
      <w:hyperlink r:id="rId5" w:history="1">
        <w:r w:rsidRPr="00CB40B5">
          <w:rPr>
            <w:rStyle w:val="Hyperlink"/>
          </w:rPr>
          <w:t>https://www.youtube.com/watch?v=OrswNLKQwW0</w:t>
        </w:r>
      </w:hyperlink>
      <w:r>
        <w:t xml:space="preserve"> [letzter Zugriff 23.10.2015].</w:t>
      </w:r>
    </w:p>
  </w:footnote>
  <w:footnote w:id="12">
    <w:p w:rsidR="006774B2" w:rsidRPr="00E376B0" w:rsidRDefault="006774B2" w:rsidP="00F33ED3">
      <w:pPr>
        <w:pStyle w:val="Funotentext"/>
        <w:spacing w:before="20" w:line="190" w:lineRule="exact"/>
        <w:ind w:left="340" w:hanging="340"/>
      </w:pPr>
      <w:r>
        <w:rPr>
          <w:rStyle w:val="Funotenzeichen"/>
        </w:rPr>
        <w:footnoteRef/>
      </w:r>
      <w:r>
        <w:t xml:space="preserve"> Adaptiert vom „fast, cheap or good“ Dilemma des Projektmanagements, das zum Beispiel Cuban 2014 erläutert. </w:t>
      </w:r>
    </w:p>
  </w:footnote>
  <w:footnote w:id="13">
    <w:p w:rsidR="006774B2" w:rsidRDefault="006774B2" w:rsidP="00F33ED3">
      <w:pPr>
        <w:pStyle w:val="Funotentext"/>
        <w:spacing w:before="20" w:line="190" w:lineRule="exact"/>
        <w:ind w:left="340" w:hanging="340"/>
      </w:pPr>
      <w:r>
        <w:rPr>
          <w:rStyle w:val="Funotenzeichen"/>
        </w:rPr>
        <w:footnoteRef/>
      </w:r>
      <w:r>
        <w:t xml:space="preserve"> Zu denken ist an etablierte Verlage mit prestigeträchtigen Reihen ebenso wie an Bibliotheken, unterstützt auch durch Fachgesellschaften. </w:t>
      </w:r>
    </w:p>
  </w:footnote>
  <w:footnote w:id="14">
    <w:p w:rsidR="006774B2" w:rsidRPr="00D57253" w:rsidRDefault="006774B2" w:rsidP="00F33ED3">
      <w:pPr>
        <w:pStyle w:val="Funotentext"/>
        <w:spacing w:before="20" w:line="190" w:lineRule="exact"/>
        <w:ind w:left="340" w:hanging="340"/>
      </w:pPr>
      <w:r>
        <w:rPr>
          <w:rStyle w:val="Funotenzeichen"/>
        </w:rPr>
        <w:footnoteRef/>
      </w:r>
      <w:r w:rsidRPr="00D57253">
        <w:t xml:space="preserve"> </w:t>
      </w:r>
      <w:hyperlink r:id="rId6" w:history="1">
        <w:r w:rsidRPr="00CB40B5">
          <w:rPr>
            <w:rStyle w:val="Hyperlink"/>
          </w:rPr>
          <w:t>http://gepris.dfg.de/gepris/projekt/244036188</w:t>
        </w:r>
      </w:hyperlink>
      <w:r>
        <w:t xml:space="preserve"> [letzter Zugriff 23.10.2015]</w:t>
      </w:r>
    </w:p>
  </w:footnote>
  <w:footnote w:id="15">
    <w:p w:rsidR="006774B2" w:rsidRPr="00D57253" w:rsidRDefault="006774B2" w:rsidP="00F33ED3">
      <w:pPr>
        <w:pStyle w:val="Funotentext"/>
        <w:spacing w:before="20" w:line="190" w:lineRule="exact"/>
        <w:ind w:left="340" w:hanging="340"/>
      </w:pPr>
      <w:r>
        <w:rPr>
          <w:rStyle w:val="Funotenzeichen"/>
        </w:rPr>
        <w:footnoteRef/>
      </w:r>
      <w:r w:rsidRPr="00D57253">
        <w:t xml:space="preserve"> </w:t>
      </w:r>
      <w:hyperlink r:id="rId7" w:history="1">
        <w:r w:rsidRPr="00CB40B5">
          <w:rPr>
            <w:rStyle w:val="Hyperlink"/>
          </w:rPr>
          <w:t>http://gepris.dfg.de/gepris/projekt/243780697</w:t>
        </w:r>
      </w:hyperlink>
      <w:r>
        <w:t xml:space="preserve"> [letzter Zugriff 23.10.2015]</w:t>
      </w:r>
    </w:p>
  </w:footnote>
  <w:footnote w:id="16">
    <w:p w:rsidR="006774B2" w:rsidRPr="0083191B" w:rsidRDefault="006774B2" w:rsidP="00F33ED3">
      <w:pPr>
        <w:pStyle w:val="Funotentext"/>
        <w:spacing w:before="20" w:line="190" w:lineRule="exact"/>
        <w:ind w:left="340" w:hanging="340"/>
        <w:rPr>
          <w:lang w:val="en-US"/>
        </w:rPr>
      </w:pPr>
      <w:r>
        <w:rPr>
          <w:rStyle w:val="Funotenzeichen"/>
          <w:rFonts w:eastAsiaTheme="majorEastAsia"/>
        </w:rPr>
        <w:footnoteRef/>
      </w:r>
      <w:r w:rsidRPr="00D6264A">
        <w:rPr>
          <w:lang w:val="en-US"/>
        </w:rPr>
        <w:t xml:space="preserve"> De </w:t>
      </w:r>
      <w:proofErr w:type="spellStart"/>
      <w:r w:rsidRPr="00E75DC2">
        <w:rPr>
          <w:lang w:val="en-US"/>
        </w:rPr>
        <w:t>Gruyter</w:t>
      </w:r>
      <w:proofErr w:type="spellEnd"/>
      <w:r w:rsidRPr="00D6264A">
        <w:rPr>
          <w:lang w:val="en-US"/>
        </w:rPr>
        <w:t xml:space="preserve">: </w:t>
      </w:r>
      <w:hyperlink r:id="rId8" w:history="1">
        <w:r w:rsidRPr="00D6264A">
          <w:rPr>
            <w:rStyle w:val="Hyperlink"/>
            <w:lang w:val="en-US"/>
          </w:rPr>
          <w:t>http://www.degruyter.com/applib/newsitem/56/die-maxplanckgesellschaft-und-de-gruyter-schlieen-rahmenvertrag-zur-publikation-von-open-accessbchern</w:t>
        </w:r>
      </w:hyperlink>
      <w:r w:rsidRPr="00D6264A">
        <w:rPr>
          <w:lang w:val="en-US"/>
        </w:rPr>
        <w:t>;</w:t>
      </w:r>
      <w:r>
        <w:rPr>
          <w:lang w:val="en-US"/>
        </w:rPr>
        <w:t xml:space="preserve"> </w:t>
      </w:r>
      <w:proofErr w:type="spellStart"/>
      <w:r>
        <w:rPr>
          <w:lang w:val="en-US"/>
        </w:rPr>
        <w:t>sowie</w:t>
      </w:r>
      <w:proofErr w:type="spellEnd"/>
      <w:r>
        <w:rPr>
          <w:lang w:val="en-US"/>
        </w:rPr>
        <w:t xml:space="preserve"> </w:t>
      </w:r>
      <w:proofErr w:type="spellStart"/>
      <w:r>
        <w:rPr>
          <w:lang w:val="en-US"/>
        </w:rPr>
        <w:t>z.B</w:t>
      </w:r>
      <w:proofErr w:type="spellEnd"/>
      <w:r>
        <w:rPr>
          <w:lang w:val="en-US"/>
        </w:rPr>
        <w:t>.</w:t>
      </w:r>
      <w:r w:rsidRPr="00D6264A">
        <w:rPr>
          <w:lang w:val="en-US"/>
        </w:rPr>
        <w:t xml:space="preserve"> Pa</w:t>
      </w:r>
      <w:r w:rsidRPr="00D6264A">
        <w:rPr>
          <w:lang w:val="en-US"/>
        </w:rPr>
        <w:t>l</w:t>
      </w:r>
      <w:r w:rsidRPr="00D6264A">
        <w:rPr>
          <w:lang w:val="en-US"/>
        </w:rPr>
        <w:t xml:space="preserve">grave Macmillan Open: </w:t>
      </w:r>
      <w:hyperlink r:id="rId9" w:anchor="section2" w:history="1">
        <w:r w:rsidRPr="00D6264A">
          <w:rPr>
            <w:rStyle w:val="Hyperlink"/>
            <w:lang w:val="en-US"/>
          </w:rPr>
          <w:t>http://www.palgrave.com/open/faq.asp#section2</w:t>
        </w:r>
      </w:hyperlink>
      <w:r w:rsidRPr="00D6264A">
        <w:rPr>
          <w:lang w:val="en-US"/>
        </w:rPr>
        <w:t xml:space="preserve">; O’Reilly Open book: </w:t>
      </w:r>
      <w:hyperlink r:id="rId10" w:history="1">
        <w:r w:rsidRPr="00D6264A">
          <w:rPr>
            <w:rStyle w:val="Hyperlink"/>
            <w:lang w:val="en-US"/>
          </w:rPr>
          <w:t>http://oreilly.com/openbook/</w:t>
        </w:r>
      </w:hyperlink>
    </w:p>
  </w:footnote>
  <w:footnote w:id="17">
    <w:p w:rsidR="006774B2" w:rsidRDefault="006774B2" w:rsidP="00F33ED3">
      <w:pPr>
        <w:pStyle w:val="Funotentext"/>
        <w:spacing w:before="20" w:line="190" w:lineRule="exact"/>
        <w:ind w:left="340" w:hanging="340"/>
      </w:pPr>
      <w:r>
        <w:rPr>
          <w:rStyle w:val="Funotenzeichen"/>
          <w:rFonts w:eastAsiaTheme="majorEastAsia"/>
        </w:rPr>
        <w:footnoteRef/>
      </w:r>
      <w:r>
        <w:t xml:space="preserve"> </w:t>
      </w:r>
      <w:r w:rsidRPr="00D6264A">
        <w:t xml:space="preserve">Webseite der AG Univerlage: </w:t>
      </w:r>
      <w:hyperlink r:id="rId11" w:history="1">
        <w:r w:rsidRPr="00D6264A">
          <w:rPr>
            <w:rStyle w:val="Hyperlink"/>
          </w:rPr>
          <w:t>http://blog.bibliothek.kit.edu/ag_univerlage/</w:t>
        </w:r>
      </w:hyperlink>
      <w:r w:rsidRPr="00D6264A">
        <w:t xml:space="preserve"> </w:t>
      </w:r>
    </w:p>
  </w:footnote>
  <w:footnote w:id="18">
    <w:p w:rsidR="006774B2" w:rsidRDefault="006774B2" w:rsidP="00F33ED3">
      <w:pPr>
        <w:pStyle w:val="Funotentext"/>
        <w:spacing w:before="20" w:line="190" w:lineRule="exact"/>
        <w:ind w:left="340" w:hanging="340"/>
      </w:pPr>
      <w:r>
        <w:rPr>
          <w:rStyle w:val="Funotenzeichen"/>
          <w:rFonts w:eastAsiaTheme="majorEastAsia"/>
        </w:rPr>
        <w:footnoteRef/>
      </w:r>
      <w:r>
        <w:t xml:space="preserve"> </w:t>
      </w:r>
      <w:hyperlink r:id="rId12" w:history="1">
        <w:r w:rsidRPr="00DD4032">
          <w:rPr>
            <w:rStyle w:val="Hyperlink"/>
          </w:rPr>
          <w:t>http://www.springeropen.com/books</w:t>
        </w:r>
      </w:hyperlink>
      <w:r>
        <w:t xml:space="preserve"> Es wird eine Seitenanzahl-basierte Gebühr angeboten, die in Vorträgen von Verlagsvertretern mit Summen von rund 15.000 € angegeben werden.</w:t>
      </w:r>
    </w:p>
  </w:footnote>
  <w:footnote w:id="19">
    <w:p w:rsidR="006774B2" w:rsidRDefault="006774B2" w:rsidP="00F33ED3">
      <w:pPr>
        <w:pStyle w:val="Funotentext"/>
        <w:spacing w:before="20" w:line="190" w:lineRule="exact"/>
        <w:ind w:left="340" w:hanging="340"/>
      </w:pPr>
      <w:r>
        <w:rPr>
          <w:rStyle w:val="Funotenzeichen"/>
          <w:rFonts w:eastAsiaTheme="majorEastAsia"/>
        </w:rPr>
        <w:footnoteRef/>
      </w:r>
      <w:r>
        <w:t xml:space="preserve"> </w:t>
      </w:r>
      <w:hyperlink r:id="rId13" w:anchor="section2" w:history="1">
        <w:r w:rsidRPr="00DD4032">
          <w:rPr>
            <w:rStyle w:val="Hyperlink"/>
          </w:rPr>
          <w:t>http://www.palgrave.com/open/faq.asp#section2</w:t>
        </w:r>
      </w:hyperlink>
      <w:r>
        <w:t xml:space="preserve"> Es sind Kostenrahmen bis 14.000 € vorges</w:t>
      </w:r>
      <w:r>
        <w:t>e</w:t>
      </w:r>
      <w:r>
        <w:t>hen.</w:t>
      </w:r>
    </w:p>
  </w:footnote>
  <w:footnote w:id="20">
    <w:p w:rsidR="006774B2" w:rsidRDefault="006774B2" w:rsidP="00F33ED3">
      <w:pPr>
        <w:pStyle w:val="Funotentext"/>
        <w:spacing w:before="20" w:line="190" w:lineRule="exact"/>
        <w:ind w:left="340" w:hanging="340"/>
      </w:pPr>
      <w:r>
        <w:rPr>
          <w:rStyle w:val="Funotenzeichen"/>
          <w:rFonts w:eastAsiaTheme="majorEastAsia"/>
        </w:rPr>
        <w:footnoteRef/>
      </w:r>
      <w:r>
        <w:t xml:space="preserve"> </w:t>
      </w:r>
      <w:hyperlink r:id="rId14" w:history="1">
        <w:r w:rsidRPr="00A83627">
          <w:rPr>
            <w:rStyle w:val="Hyperlink"/>
          </w:rPr>
          <w:t>http://www.fwf.ac.at/de/projects/selbststaendige_publikationen.html</w:t>
        </w:r>
      </w:hyperlink>
      <w:r>
        <w:t xml:space="preserve"> </w:t>
      </w:r>
    </w:p>
  </w:footnote>
  <w:footnote w:id="21">
    <w:p w:rsidR="006774B2" w:rsidRDefault="006774B2" w:rsidP="00F33ED3">
      <w:pPr>
        <w:pStyle w:val="Funotentext"/>
        <w:spacing w:before="20" w:line="190" w:lineRule="exact"/>
        <w:ind w:left="340" w:hanging="340"/>
      </w:pPr>
      <w:r>
        <w:rPr>
          <w:rStyle w:val="Funotenzeichen"/>
          <w:rFonts w:eastAsiaTheme="majorEastAsia"/>
        </w:rPr>
        <w:footnoteRef/>
      </w:r>
      <w:r>
        <w:t xml:space="preserve"> Die Fördersummen im genannten Programm liegen bei 14.000 – 20.000 € für eine hybride Publikation. Dies wird für das Gros der Verlage eine Open-Access-Publikation ohne ne</w:t>
      </w:r>
      <w:r>
        <w:t>n</w:t>
      </w:r>
      <w:r>
        <w:t>nenswertes Risiko ermöglichen. Ob die öffentlich geförderte Risikoabfederung für priva</w:t>
      </w:r>
      <w:r>
        <w:t>t</w:t>
      </w:r>
      <w:r>
        <w:t xml:space="preserve">wirtschaftliche und in weiten Teilen auch gewinnorientierte Akteure ein erwünschter oder zu vermeidender Effekt ist, konnte im Projektverlauf nicht in der nötigen Tiefe analysiert werden. Diesen Aspekten wäre in dezidierten Forschungsprojekten nachzugehen. </w:t>
      </w:r>
    </w:p>
  </w:footnote>
  <w:footnote w:id="22">
    <w:p w:rsidR="006774B2" w:rsidRDefault="006774B2" w:rsidP="00F33ED3">
      <w:pPr>
        <w:pStyle w:val="Funotentext"/>
        <w:spacing w:before="20" w:line="190" w:lineRule="exact"/>
        <w:ind w:left="340" w:hanging="340"/>
      </w:pPr>
      <w:r>
        <w:rPr>
          <w:rStyle w:val="Funotenzeichen"/>
        </w:rPr>
        <w:footnoteRef/>
      </w:r>
      <w:r>
        <w:t xml:space="preserve"> Siehe dazu die Webseite des Verbands </w:t>
      </w:r>
      <w:hyperlink r:id="rId15" w:history="1">
        <w:r w:rsidRPr="003F428A">
          <w:rPr>
            <w:rStyle w:val="Hyperlink"/>
          </w:rPr>
          <w:t>http://www.dig-hum.de/ueber-dhd</w:t>
        </w:r>
      </w:hyperlink>
      <w:r>
        <w:t xml:space="preserve">.  </w:t>
      </w:r>
    </w:p>
  </w:footnote>
  <w:footnote w:id="23">
    <w:p w:rsidR="006774B2" w:rsidRDefault="006774B2" w:rsidP="00F33ED3">
      <w:pPr>
        <w:pStyle w:val="Funotentext"/>
        <w:spacing w:before="20" w:line="190" w:lineRule="exact"/>
        <w:ind w:left="340" w:hanging="340"/>
      </w:pPr>
      <w:r>
        <w:rPr>
          <w:rStyle w:val="Funotenzeichen"/>
        </w:rPr>
        <w:footnoteRef/>
      </w:r>
      <w:r>
        <w:t xml:space="preserve"> Dazu z.B. das Datenmodell „Shared Canvas“ </w:t>
      </w:r>
      <w:hyperlink r:id="rId16" w:history="1">
        <w:r w:rsidRPr="003F428A">
          <w:rPr>
            <w:rStyle w:val="Hyperlink"/>
          </w:rPr>
          <w:t>http://iiif.io/model/shared-canvas/1.0/index.html</w:t>
        </w:r>
      </w:hyperlink>
      <w:r>
        <w:t xml:space="preserve"> [letzter Zugriff 30.10.2015], das einige der a</w:t>
      </w:r>
      <w:r w:rsidR="00C83F65">
        <w:t>ufgeworfenen Fragen der Registri</w:t>
      </w:r>
      <w:r>
        <w:t>erungsfunkt</w:t>
      </w:r>
      <w:r>
        <w:t>i</w:t>
      </w:r>
      <w:r>
        <w:t xml:space="preserve">on zu lösen sucht. </w:t>
      </w:r>
    </w:p>
  </w:footnote>
  <w:footnote w:id="24">
    <w:p w:rsidR="006774B2" w:rsidRDefault="006774B2" w:rsidP="00F33ED3">
      <w:pPr>
        <w:pStyle w:val="Funotentext"/>
        <w:spacing w:before="20" w:line="190" w:lineRule="exact"/>
        <w:ind w:left="340" w:hanging="340"/>
      </w:pPr>
      <w:r>
        <w:rPr>
          <w:rStyle w:val="Funotenzeichen"/>
        </w:rPr>
        <w:footnoteRef/>
      </w:r>
      <w:r>
        <w:t xml:space="preserve"> </w:t>
      </w:r>
      <w:hyperlink r:id="rId17" w:history="1">
        <w:r w:rsidRPr="003F428A">
          <w:rPr>
            <w:rStyle w:val="Hyperlink"/>
          </w:rPr>
          <w:t>http://library.stanford.edu/news/2015/01/stanford-university-press-awarded-12-million-publishing-interactive-scholarly-works</w:t>
        </w:r>
      </w:hyperlink>
      <w:r>
        <w:t xml:space="preserve"> oder </w:t>
      </w:r>
      <w:r w:rsidRPr="00566143">
        <w:t>https://www.upress.umn.edu/press/press-releases/manifold-scholarship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4B2" w:rsidRDefault="007603A9">
    <w:pPr>
      <w:framePr w:wrap="around" w:vAnchor="text" w:hAnchor="margin" w:xAlign="outside" w:y="1"/>
      <w:rPr>
        <w:rStyle w:val="Seitenzahl"/>
      </w:rPr>
    </w:pPr>
    <w:r>
      <w:rPr>
        <w:rStyle w:val="Seitenzahl"/>
      </w:rPr>
      <w:fldChar w:fldCharType="begin"/>
    </w:r>
    <w:r w:rsidR="006774B2">
      <w:rPr>
        <w:rStyle w:val="Seitenzahl"/>
      </w:rPr>
      <w:instrText xml:space="preserve">PAGE  </w:instrText>
    </w:r>
    <w:r>
      <w:rPr>
        <w:rStyle w:val="Seitenzahl"/>
      </w:rPr>
      <w:fldChar w:fldCharType="separate"/>
    </w:r>
    <w:r w:rsidR="0035673C">
      <w:rPr>
        <w:rStyle w:val="Seitenzahl"/>
        <w:noProof/>
      </w:rPr>
      <w:t>2</w:t>
    </w:r>
    <w:r>
      <w:rPr>
        <w:rStyle w:val="Seitenzahl"/>
      </w:rPr>
      <w:fldChar w:fldCharType="end"/>
    </w:r>
  </w:p>
  <w:p w:rsidR="006774B2" w:rsidRPr="00F97C9A" w:rsidRDefault="006774B2" w:rsidP="005121A9">
    <w:pPr>
      <w:pStyle w:val="Kolumnelinks"/>
    </w:pPr>
    <w:r w:rsidRPr="00F97C9A">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4B2" w:rsidRDefault="007603A9">
    <w:pPr>
      <w:framePr w:wrap="around" w:vAnchor="text" w:hAnchor="margin" w:xAlign="outside" w:y="1"/>
      <w:rPr>
        <w:rStyle w:val="Seitenzahl"/>
      </w:rPr>
    </w:pPr>
    <w:r>
      <w:rPr>
        <w:rStyle w:val="Seitenzahl"/>
      </w:rPr>
      <w:fldChar w:fldCharType="begin"/>
    </w:r>
    <w:r w:rsidR="006774B2">
      <w:rPr>
        <w:rStyle w:val="Seitenzahl"/>
      </w:rPr>
      <w:instrText xml:space="preserve">PAGE  </w:instrText>
    </w:r>
    <w:r>
      <w:rPr>
        <w:rStyle w:val="Seitenzahl"/>
      </w:rPr>
      <w:fldChar w:fldCharType="separate"/>
    </w:r>
    <w:r w:rsidR="0035673C">
      <w:rPr>
        <w:rStyle w:val="Seitenzahl"/>
        <w:noProof/>
      </w:rPr>
      <w:t>3</w:t>
    </w:r>
    <w:r>
      <w:rPr>
        <w:rStyle w:val="Seitenzahl"/>
      </w:rPr>
      <w:fldChar w:fldCharType="end"/>
    </w:r>
  </w:p>
  <w:p w:rsidR="006774B2" w:rsidRPr="005121A9" w:rsidRDefault="006774B2" w:rsidP="005E78CE">
    <w:pPr>
      <w:pStyle w:val="Kolumnerech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15C"/>
    <w:multiLevelType w:val="hybridMultilevel"/>
    <w:tmpl w:val="C19C2F8C"/>
    <w:lvl w:ilvl="0" w:tplc="CFA6D422">
      <w:numFmt w:val="bullet"/>
      <w:lvlText w:val="-"/>
      <w:lvlJc w:val="left"/>
      <w:pPr>
        <w:ind w:left="720" w:hanging="360"/>
      </w:pPr>
      <w:rPr>
        <w:rFonts w:ascii="Garamond" w:eastAsia="Times New Roman" w:hAnsi="Garamond"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5E1AEB"/>
    <w:multiLevelType w:val="hybridMultilevel"/>
    <w:tmpl w:val="DFBE2E44"/>
    <w:lvl w:ilvl="0" w:tplc="50D0AB60">
      <w:start w:val="1"/>
      <w:numFmt w:val="bullet"/>
      <w:pStyle w:val="Aufzhlungvor6p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845943"/>
    <w:multiLevelType w:val="hybridMultilevel"/>
    <w:tmpl w:val="A2423636"/>
    <w:lvl w:ilvl="0" w:tplc="406A6CBA">
      <w:start w:val="1"/>
      <w:numFmt w:val="bullet"/>
      <w:pStyle w:val="Aufzhlung"/>
      <w:lvlText w:val="•"/>
      <w:lvlJc w:val="left"/>
      <w:pPr>
        <w:ind w:left="700" w:hanging="360"/>
      </w:pPr>
      <w:rPr>
        <w:rFonts w:ascii="Times New Roman" w:eastAsia="Calibr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61E62F1"/>
    <w:multiLevelType w:val="hybridMultilevel"/>
    <w:tmpl w:val="FB2433AC"/>
    <w:lvl w:ilvl="0" w:tplc="6B32C01C">
      <w:start w:val="1"/>
      <w:numFmt w:val="bullet"/>
      <w:pStyle w:val="Aufzhlungnach6pt"/>
      <w:lvlText w:val="•"/>
      <w:lvlJc w:val="left"/>
      <w:pPr>
        <w:ind w:left="1060" w:hanging="360"/>
      </w:pPr>
      <w:rPr>
        <w:rFonts w:ascii="Times New Roman" w:eastAsia="Calibri" w:hAnsi="Times New Roman" w:cs="Times New Roman"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
    <w:nsid w:val="481D3489"/>
    <w:multiLevelType w:val="hybridMultilevel"/>
    <w:tmpl w:val="DF3A690E"/>
    <w:lvl w:ilvl="0" w:tplc="F3A6A934">
      <w:numFmt w:val="bullet"/>
      <w:lvlText w:val="-"/>
      <w:lvlJc w:val="left"/>
      <w:pPr>
        <w:ind w:left="720" w:hanging="360"/>
      </w:pPr>
      <w:rPr>
        <w:rFonts w:ascii="Garamond" w:eastAsia="Times New Roman" w:hAnsi="Garamond"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C1B4AC8"/>
    <w:multiLevelType w:val="hybridMultilevel"/>
    <w:tmpl w:val="51744F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4A0185E"/>
    <w:multiLevelType w:val="hybridMultilevel"/>
    <w:tmpl w:val="0F84BC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B181E85"/>
    <w:multiLevelType w:val="hybridMultilevel"/>
    <w:tmpl w:val="BA108162"/>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4"/>
  </w:num>
  <w:num w:numId="6">
    <w:abstractNumId w:val="7"/>
  </w:num>
  <w:num w:numId="7">
    <w:abstractNumId w:val="0"/>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
    <w15:presenceInfo w15:providerId="None" w15:userId="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E69"/>
    <w:rsid w:val="00047218"/>
    <w:rsid w:val="000610DD"/>
    <w:rsid w:val="00083273"/>
    <w:rsid w:val="000C65EB"/>
    <w:rsid w:val="000E4027"/>
    <w:rsid w:val="000E6A43"/>
    <w:rsid w:val="000F775B"/>
    <w:rsid w:val="00107A8A"/>
    <w:rsid w:val="001258EB"/>
    <w:rsid w:val="00143500"/>
    <w:rsid w:val="00147CB8"/>
    <w:rsid w:val="001828CD"/>
    <w:rsid w:val="001A2654"/>
    <w:rsid w:val="001A4BB3"/>
    <w:rsid w:val="001D58B9"/>
    <w:rsid w:val="001D5EFA"/>
    <w:rsid w:val="00200FEB"/>
    <w:rsid w:val="00236830"/>
    <w:rsid w:val="00260214"/>
    <w:rsid w:val="00270FDF"/>
    <w:rsid w:val="00271E88"/>
    <w:rsid w:val="00276D59"/>
    <w:rsid w:val="00283F5A"/>
    <w:rsid w:val="002970ED"/>
    <w:rsid w:val="002A3DF8"/>
    <w:rsid w:val="002A6D1C"/>
    <w:rsid w:val="002B1581"/>
    <w:rsid w:val="002D6B22"/>
    <w:rsid w:val="002E2636"/>
    <w:rsid w:val="00354028"/>
    <w:rsid w:val="0035673C"/>
    <w:rsid w:val="003600F5"/>
    <w:rsid w:val="0039334B"/>
    <w:rsid w:val="00394F2A"/>
    <w:rsid w:val="003A4F2A"/>
    <w:rsid w:val="003B6369"/>
    <w:rsid w:val="003E1BBE"/>
    <w:rsid w:val="003E7252"/>
    <w:rsid w:val="003F04BA"/>
    <w:rsid w:val="00405D1A"/>
    <w:rsid w:val="0041455A"/>
    <w:rsid w:val="00416D58"/>
    <w:rsid w:val="00424456"/>
    <w:rsid w:val="004244E1"/>
    <w:rsid w:val="004319F1"/>
    <w:rsid w:val="00450356"/>
    <w:rsid w:val="00462E69"/>
    <w:rsid w:val="00471FBC"/>
    <w:rsid w:val="00495E2A"/>
    <w:rsid w:val="004A2F86"/>
    <w:rsid w:val="004B5B42"/>
    <w:rsid w:val="004D14D1"/>
    <w:rsid w:val="004D7382"/>
    <w:rsid w:val="004E4775"/>
    <w:rsid w:val="005121A9"/>
    <w:rsid w:val="005450E9"/>
    <w:rsid w:val="00566143"/>
    <w:rsid w:val="00571D88"/>
    <w:rsid w:val="005B52F4"/>
    <w:rsid w:val="005E78CE"/>
    <w:rsid w:val="005F72CB"/>
    <w:rsid w:val="00644614"/>
    <w:rsid w:val="00650EF0"/>
    <w:rsid w:val="0066687E"/>
    <w:rsid w:val="006774B2"/>
    <w:rsid w:val="00684D98"/>
    <w:rsid w:val="006935D3"/>
    <w:rsid w:val="006C5369"/>
    <w:rsid w:val="006D3F81"/>
    <w:rsid w:val="006F4525"/>
    <w:rsid w:val="00707A92"/>
    <w:rsid w:val="0071210D"/>
    <w:rsid w:val="00730702"/>
    <w:rsid w:val="00733191"/>
    <w:rsid w:val="00737F19"/>
    <w:rsid w:val="00743A92"/>
    <w:rsid w:val="00744DA0"/>
    <w:rsid w:val="00752476"/>
    <w:rsid w:val="007603A9"/>
    <w:rsid w:val="00765FF6"/>
    <w:rsid w:val="00775AF0"/>
    <w:rsid w:val="0079461F"/>
    <w:rsid w:val="007C699B"/>
    <w:rsid w:val="007F73E3"/>
    <w:rsid w:val="008023AF"/>
    <w:rsid w:val="008040E5"/>
    <w:rsid w:val="00843077"/>
    <w:rsid w:val="0084338E"/>
    <w:rsid w:val="0084382F"/>
    <w:rsid w:val="008964F1"/>
    <w:rsid w:val="008A4D3C"/>
    <w:rsid w:val="008F39EF"/>
    <w:rsid w:val="00903A0C"/>
    <w:rsid w:val="00942D31"/>
    <w:rsid w:val="00972955"/>
    <w:rsid w:val="00977CD5"/>
    <w:rsid w:val="00980DBE"/>
    <w:rsid w:val="00997313"/>
    <w:rsid w:val="009A0565"/>
    <w:rsid w:val="009F1B42"/>
    <w:rsid w:val="009F2606"/>
    <w:rsid w:val="00A20D97"/>
    <w:rsid w:val="00A314ED"/>
    <w:rsid w:val="00A31BF3"/>
    <w:rsid w:val="00A37814"/>
    <w:rsid w:val="00A40CC0"/>
    <w:rsid w:val="00A4398B"/>
    <w:rsid w:val="00A44C56"/>
    <w:rsid w:val="00A7274B"/>
    <w:rsid w:val="00A75DFE"/>
    <w:rsid w:val="00A8716E"/>
    <w:rsid w:val="00AB1B72"/>
    <w:rsid w:val="00B0069D"/>
    <w:rsid w:val="00B31A74"/>
    <w:rsid w:val="00B760E2"/>
    <w:rsid w:val="00B82C16"/>
    <w:rsid w:val="00BA157F"/>
    <w:rsid w:val="00BB1826"/>
    <w:rsid w:val="00BF510F"/>
    <w:rsid w:val="00C70387"/>
    <w:rsid w:val="00C83F65"/>
    <w:rsid w:val="00CA2AF7"/>
    <w:rsid w:val="00CC1A5E"/>
    <w:rsid w:val="00CD59CD"/>
    <w:rsid w:val="00CF2753"/>
    <w:rsid w:val="00D1284B"/>
    <w:rsid w:val="00D37562"/>
    <w:rsid w:val="00D4275E"/>
    <w:rsid w:val="00D57253"/>
    <w:rsid w:val="00DB3AA8"/>
    <w:rsid w:val="00DD5492"/>
    <w:rsid w:val="00E07108"/>
    <w:rsid w:val="00E22F81"/>
    <w:rsid w:val="00E340E3"/>
    <w:rsid w:val="00E36729"/>
    <w:rsid w:val="00E376B0"/>
    <w:rsid w:val="00E62CB2"/>
    <w:rsid w:val="00E75226"/>
    <w:rsid w:val="00E77012"/>
    <w:rsid w:val="00EC1944"/>
    <w:rsid w:val="00ED50B6"/>
    <w:rsid w:val="00ED70BC"/>
    <w:rsid w:val="00EF711F"/>
    <w:rsid w:val="00F008A9"/>
    <w:rsid w:val="00F01DC1"/>
    <w:rsid w:val="00F057FA"/>
    <w:rsid w:val="00F124A4"/>
    <w:rsid w:val="00F33ED3"/>
    <w:rsid w:val="00F34BB2"/>
    <w:rsid w:val="00F5272E"/>
    <w:rsid w:val="00F85A62"/>
    <w:rsid w:val="00F85EB0"/>
    <w:rsid w:val="00F97C9A"/>
    <w:rsid w:val="00FA6E96"/>
    <w:rsid w:val="00FD0588"/>
    <w:rsid w:val="00FF340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04BA"/>
    <w:pPr>
      <w:spacing w:line="240" w:lineRule="exact"/>
      <w:jc w:val="both"/>
    </w:pPr>
    <w:rPr>
      <w:sz w:val="21"/>
    </w:rPr>
  </w:style>
  <w:style w:type="paragraph" w:styleId="berschrift1">
    <w:name w:val="heading 1"/>
    <w:basedOn w:val="Standard"/>
    <w:next w:val="Standard"/>
    <w:qFormat/>
    <w:rsid w:val="0079461F"/>
    <w:pPr>
      <w:keepNext/>
      <w:suppressAutoHyphens/>
      <w:spacing w:before="960" w:after="480" w:line="320" w:lineRule="exact"/>
      <w:jc w:val="left"/>
      <w:outlineLvl w:val="0"/>
    </w:pPr>
    <w:rPr>
      <w:rFonts w:cs="Arial"/>
      <w:bCs/>
      <w:kern w:val="32"/>
      <w:sz w:val="30"/>
      <w:szCs w:val="30"/>
    </w:rPr>
  </w:style>
  <w:style w:type="paragraph" w:styleId="berschrift2">
    <w:name w:val="heading 2"/>
    <w:basedOn w:val="Standard"/>
    <w:next w:val="Standard"/>
    <w:qFormat/>
    <w:rsid w:val="0079461F"/>
    <w:pPr>
      <w:keepNext/>
      <w:suppressAutoHyphens/>
      <w:spacing w:before="480" w:after="240" w:line="300" w:lineRule="exact"/>
      <w:jc w:val="left"/>
      <w:outlineLvl w:val="1"/>
    </w:pPr>
    <w:rPr>
      <w:rFonts w:cs="Arial"/>
      <w:bCs/>
      <w:iCs/>
      <w:sz w:val="26"/>
      <w:szCs w:val="26"/>
    </w:rPr>
  </w:style>
  <w:style w:type="paragraph" w:styleId="berschrift3">
    <w:name w:val="heading 3"/>
    <w:basedOn w:val="Standard"/>
    <w:next w:val="Standard"/>
    <w:qFormat/>
    <w:rsid w:val="0079461F"/>
    <w:pPr>
      <w:keepNext/>
      <w:suppressAutoHyphens/>
      <w:spacing w:before="480" w:after="240"/>
      <w:jc w:val="left"/>
      <w:outlineLvl w:val="2"/>
    </w:pPr>
    <w:rPr>
      <w:rFonts w:cs="Arial"/>
      <w:bCs/>
      <w:sz w:val="22"/>
      <w:szCs w:val="22"/>
    </w:rPr>
  </w:style>
  <w:style w:type="paragraph" w:styleId="berschrift4">
    <w:name w:val="heading 4"/>
    <w:basedOn w:val="Standard"/>
    <w:next w:val="Standard"/>
    <w:link w:val="berschrift4Zeichen"/>
    <w:uiPriority w:val="9"/>
    <w:semiHidden/>
    <w:unhideWhenUsed/>
    <w:qFormat/>
    <w:rsid w:val="00A4398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schrift">
    <w:name w:val="Grundschrift"/>
    <w:basedOn w:val="Standard"/>
    <w:rsid w:val="00765FF6"/>
  </w:style>
  <w:style w:type="paragraph" w:customStyle="1" w:styleId="GrundschriftmitEinzug">
    <w:name w:val="Grundschrift mit Einzug"/>
    <w:basedOn w:val="Grundschrift"/>
    <w:rsid w:val="00765FF6"/>
    <w:pPr>
      <w:ind w:firstLine="340"/>
    </w:pPr>
  </w:style>
  <w:style w:type="paragraph" w:customStyle="1" w:styleId="Abbildungsunterschrift">
    <w:name w:val="Abbildungsunterschrift"/>
    <w:basedOn w:val="Standard"/>
    <w:rsid w:val="00972955"/>
    <w:pPr>
      <w:spacing w:after="120" w:line="200" w:lineRule="exact"/>
      <w:jc w:val="left"/>
    </w:pPr>
    <w:rPr>
      <w:sz w:val="18"/>
      <w:szCs w:val="18"/>
    </w:rPr>
  </w:style>
  <w:style w:type="paragraph" w:customStyle="1" w:styleId="Funote">
    <w:name w:val="Fußnote"/>
    <w:basedOn w:val="Funotentext"/>
    <w:rsid w:val="00997313"/>
    <w:pPr>
      <w:spacing w:before="20" w:line="190" w:lineRule="exact"/>
      <w:ind w:left="340" w:hanging="340"/>
    </w:pPr>
    <w:rPr>
      <w:szCs w:val="17"/>
    </w:rPr>
  </w:style>
  <w:style w:type="paragraph" w:customStyle="1" w:styleId="Kolumnelinks">
    <w:name w:val="Kolumne_links"/>
    <w:basedOn w:val="Standard"/>
    <w:rsid w:val="005121A9"/>
    <w:pPr>
      <w:tabs>
        <w:tab w:val="left" w:pos="454"/>
      </w:tabs>
      <w:spacing w:after="220" w:line="220" w:lineRule="exact"/>
      <w:jc w:val="left"/>
    </w:pPr>
    <w:rPr>
      <w:sz w:val="18"/>
    </w:rPr>
  </w:style>
  <w:style w:type="paragraph" w:styleId="Funotentext">
    <w:name w:val="footnote text"/>
    <w:basedOn w:val="Standard"/>
    <w:link w:val="FunotentextZeichen"/>
    <w:uiPriority w:val="99"/>
    <w:rsid w:val="002D6B22"/>
    <w:pPr>
      <w:spacing w:line="240" w:lineRule="auto"/>
      <w:ind w:left="142" w:hanging="142"/>
      <w:jc w:val="left"/>
    </w:pPr>
    <w:rPr>
      <w:sz w:val="17"/>
    </w:rPr>
  </w:style>
  <w:style w:type="paragraph" w:customStyle="1" w:styleId="Kolumnerechts">
    <w:name w:val="Kolumne_rechts"/>
    <w:basedOn w:val="Standard"/>
    <w:rsid w:val="005121A9"/>
    <w:pPr>
      <w:tabs>
        <w:tab w:val="right" w:pos="6180"/>
        <w:tab w:val="right" w:pos="6634"/>
      </w:tabs>
      <w:spacing w:after="220" w:line="220" w:lineRule="exact"/>
      <w:jc w:val="left"/>
    </w:pPr>
    <w:rPr>
      <w:sz w:val="18"/>
    </w:rPr>
  </w:style>
  <w:style w:type="character" w:customStyle="1" w:styleId="Formatvorlage1">
    <w:name w:val="Formatvorlage1"/>
    <w:basedOn w:val="Seitenzahl"/>
    <w:rsid w:val="00997313"/>
    <w:rPr>
      <w:rFonts w:ascii="Times New Roman" w:hAnsi="Times New Roman"/>
      <w:sz w:val="20"/>
      <w:szCs w:val="20"/>
    </w:rPr>
  </w:style>
  <w:style w:type="paragraph" w:customStyle="1" w:styleId="Zitat1">
    <w:name w:val="Zitat1"/>
    <w:basedOn w:val="Grundschrift"/>
    <w:rsid w:val="000F775B"/>
    <w:pPr>
      <w:spacing w:before="120" w:after="120" w:line="210" w:lineRule="exact"/>
      <w:ind w:left="340"/>
    </w:pPr>
    <w:rPr>
      <w:sz w:val="18"/>
      <w:szCs w:val="18"/>
    </w:rPr>
  </w:style>
  <w:style w:type="character" w:styleId="Seitenzahl">
    <w:name w:val="page number"/>
    <w:basedOn w:val="Absatz-Standardschriftart"/>
    <w:rsid w:val="00997313"/>
  </w:style>
  <w:style w:type="paragraph" w:customStyle="1" w:styleId="Bibliographie">
    <w:name w:val="Bibliographie"/>
    <w:basedOn w:val="Grundschrift"/>
    <w:rsid w:val="000F775B"/>
    <w:pPr>
      <w:spacing w:before="40" w:line="200" w:lineRule="exact"/>
      <w:ind w:left="340" w:hanging="340"/>
    </w:pPr>
    <w:rPr>
      <w:sz w:val="18"/>
      <w:szCs w:val="18"/>
    </w:rPr>
  </w:style>
  <w:style w:type="paragraph" w:customStyle="1" w:styleId="Kopfzeilen">
    <w:name w:val="Kopfzeilen"/>
    <w:basedOn w:val="Standard"/>
    <w:rsid w:val="005121A9"/>
    <w:pPr>
      <w:keepNext/>
      <w:keepLines/>
      <w:tabs>
        <w:tab w:val="left" w:pos="454"/>
      </w:tabs>
      <w:spacing w:after="220" w:line="220" w:lineRule="exact"/>
      <w:jc w:val="left"/>
    </w:pPr>
    <w:rPr>
      <w:sz w:val="18"/>
      <w:szCs w:val="18"/>
    </w:rPr>
  </w:style>
  <w:style w:type="paragraph" w:customStyle="1" w:styleId="Abbunterschrift">
    <w:name w:val="Abb.unterschrift"/>
    <w:basedOn w:val="Grundschrift"/>
    <w:rsid w:val="00F97C9A"/>
    <w:pPr>
      <w:spacing w:after="120" w:line="200" w:lineRule="exact"/>
      <w:jc w:val="left"/>
    </w:pPr>
    <w:rPr>
      <w:sz w:val="18"/>
    </w:rPr>
  </w:style>
  <w:style w:type="paragraph" w:styleId="Fuzeile">
    <w:name w:val="footer"/>
    <w:basedOn w:val="Standard"/>
    <w:link w:val="FuzeileZeichen"/>
    <w:rsid w:val="00F97C9A"/>
    <w:pPr>
      <w:tabs>
        <w:tab w:val="center" w:pos="4536"/>
        <w:tab w:val="right" w:pos="9072"/>
      </w:tabs>
      <w:spacing w:line="240" w:lineRule="auto"/>
      <w:jc w:val="left"/>
    </w:pPr>
  </w:style>
  <w:style w:type="character" w:customStyle="1" w:styleId="FuzeileZeichen">
    <w:name w:val="Fußzeile Zeichen"/>
    <w:basedOn w:val="Absatz-Standardschriftart"/>
    <w:link w:val="Fuzeile"/>
    <w:rsid w:val="00F97C9A"/>
  </w:style>
  <w:style w:type="character" w:customStyle="1" w:styleId="Kolumnerechts0">
    <w:name w:val="Kolumne rechts"/>
    <w:basedOn w:val="Absatz-Standardschriftart"/>
    <w:rsid w:val="00F97C9A"/>
    <w:rPr>
      <w:rFonts w:ascii="Times New Roman" w:hAnsi="Times New Roman"/>
    </w:rPr>
  </w:style>
  <w:style w:type="character" w:customStyle="1" w:styleId="Kolumnelinks0">
    <w:name w:val="Kolumne links"/>
    <w:rsid w:val="00F97C9A"/>
  </w:style>
  <w:style w:type="paragraph" w:styleId="Sprechblasentext">
    <w:name w:val="Balloon Text"/>
    <w:basedOn w:val="Standard"/>
    <w:link w:val="SprechblasentextZeichen"/>
    <w:uiPriority w:val="99"/>
    <w:semiHidden/>
    <w:unhideWhenUsed/>
    <w:rsid w:val="00F97C9A"/>
    <w:pPr>
      <w:spacing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97C9A"/>
    <w:rPr>
      <w:rFonts w:ascii="Tahoma" w:hAnsi="Tahoma" w:cs="Tahoma"/>
      <w:sz w:val="16"/>
      <w:szCs w:val="16"/>
    </w:rPr>
  </w:style>
  <w:style w:type="paragraph" w:customStyle="1" w:styleId="Aufzhlung">
    <w:name w:val="Aufzählung"/>
    <w:basedOn w:val="Standard"/>
    <w:qFormat/>
    <w:rsid w:val="00FF340F"/>
    <w:pPr>
      <w:numPr>
        <w:numId w:val="1"/>
      </w:numPr>
      <w:ind w:left="680" w:hanging="340"/>
    </w:pPr>
  </w:style>
  <w:style w:type="paragraph" w:styleId="Kopfzeile">
    <w:name w:val="header"/>
    <w:basedOn w:val="Standard"/>
    <w:link w:val="KopfzeileZeichen"/>
    <w:unhideWhenUsed/>
    <w:rsid w:val="005121A9"/>
    <w:pPr>
      <w:tabs>
        <w:tab w:val="center" w:pos="4536"/>
        <w:tab w:val="right" w:pos="9072"/>
      </w:tabs>
      <w:spacing w:line="240" w:lineRule="auto"/>
    </w:pPr>
  </w:style>
  <w:style w:type="character" w:customStyle="1" w:styleId="KopfzeileZeichen">
    <w:name w:val="Kopfzeile Zeichen"/>
    <w:basedOn w:val="Absatz-Standardschriftart"/>
    <w:link w:val="Kopfzeile"/>
    <w:rsid w:val="005121A9"/>
  </w:style>
  <w:style w:type="paragraph" w:customStyle="1" w:styleId="Aufzhlungvor6pt">
    <w:name w:val="Aufzählung vor 6pt"/>
    <w:basedOn w:val="Standard"/>
    <w:qFormat/>
    <w:rsid w:val="00FF340F"/>
    <w:pPr>
      <w:numPr>
        <w:numId w:val="2"/>
      </w:numPr>
      <w:spacing w:before="120"/>
      <w:ind w:left="680" w:hanging="340"/>
    </w:pPr>
  </w:style>
  <w:style w:type="paragraph" w:customStyle="1" w:styleId="Aufzhlungnach6pt">
    <w:name w:val="Aufzählung nach 6pt"/>
    <w:basedOn w:val="Aufzhlungvor6pt"/>
    <w:qFormat/>
    <w:rsid w:val="00FF340F"/>
    <w:pPr>
      <w:numPr>
        <w:numId w:val="3"/>
      </w:numPr>
      <w:spacing w:before="0" w:after="120"/>
      <w:ind w:left="680" w:hanging="340"/>
    </w:pPr>
  </w:style>
  <w:style w:type="character" w:styleId="Funotenzeichen">
    <w:name w:val="footnote reference"/>
    <w:basedOn w:val="Absatz-Standardschriftart"/>
    <w:uiPriority w:val="99"/>
    <w:unhideWhenUsed/>
    <w:rsid w:val="001828CD"/>
    <w:rPr>
      <w:vertAlign w:val="superscript"/>
    </w:rPr>
  </w:style>
  <w:style w:type="character" w:customStyle="1" w:styleId="berschrift4Zeichen">
    <w:name w:val="Überschrift 4 Zeichen"/>
    <w:basedOn w:val="Absatz-Standardschriftart"/>
    <w:link w:val="berschrift4"/>
    <w:uiPriority w:val="9"/>
    <w:semiHidden/>
    <w:rsid w:val="00A4398B"/>
    <w:rPr>
      <w:rFonts w:asciiTheme="majorHAnsi" w:eastAsiaTheme="majorEastAsia" w:hAnsiTheme="majorHAnsi" w:cstheme="majorBidi"/>
      <w:b/>
      <w:bCs/>
      <w:i/>
      <w:iCs/>
      <w:color w:val="4F81BD" w:themeColor="accent1"/>
      <w:sz w:val="21"/>
    </w:rPr>
  </w:style>
  <w:style w:type="paragraph" w:styleId="Untertitel">
    <w:name w:val="Subtitle"/>
    <w:basedOn w:val="Standard"/>
    <w:next w:val="Standard"/>
    <w:link w:val="UntertitelZeichen"/>
    <w:qFormat/>
    <w:rsid w:val="00A4398B"/>
    <w:pPr>
      <w:spacing w:after="60" w:line="240" w:lineRule="auto"/>
      <w:jc w:val="center"/>
      <w:outlineLvl w:val="1"/>
    </w:pPr>
    <w:rPr>
      <w:rFonts w:ascii="Cambria" w:eastAsiaTheme="majorEastAsia" w:hAnsi="Cambria" w:cstheme="majorBidi"/>
      <w:sz w:val="24"/>
      <w:szCs w:val="24"/>
      <w:lang w:val="en-US" w:eastAsia="en-US"/>
    </w:rPr>
  </w:style>
  <w:style w:type="character" w:customStyle="1" w:styleId="UntertitelZeichen">
    <w:name w:val="Untertitel Zeichen"/>
    <w:basedOn w:val="Absatz-Standardschriftart"/>
    <w:link w:val="Untertitel"/>
    <w:rsid w:val="00A4398B"/>
    <w:rPr>
      <w:rFonts w:ascii="Cambria" w:eastAsiaTheme="majorEastAsia" w:hAnsi="Cambria" w:cstheme="majorBidi"/>
      <w:sz w:val="24"/>
      <w:szCs w:val="24"/>
      <w:lang w:val="en-US" w:eastAsia="en-US"/>
    </w:rPr>
  </w:style>
  <w:style w:type="paragraph" w:styleId="Listenabsatz">
    <w:name w:val="List Paragraph"/>
    <w:basedOn w:val="Standard"/>
    <w:uiPriority w:val="34"/>
    <w:qFormat/>
    <w:rsid w:val="00A4398B"/>
    <w:pPr>
      <w:spacing w:line="240" w:lineRule="auto"/>
      <w:ind w:left="720"/>
      <w:contextualSpacing/>
    </w:pPr>
    <w:rPr>
      <w:rFonts w:ascii="Garamond" w:hAnsi="Garamond"/>
      <w:sz w:val="24"/>
      <w:szCs w:val="24"/>
      <w:lang w:val="en-US"/>
    </w:rPr>
  </w:style>
  <w:style w:type="character" w:styleId="Hyperlink">
    <w:name w:val="Hyperlink"/>
    <w:basedOn w:val="Absatz-Standardschriftart"/>
    <w:uiPriority w:val="99"/>
    <w:unhideWhenUsed/>
    <w:rsid w:val="00A4398B"/>
    <w:rPr>
      <w:color w:val="0000FF" w:themeColor="hyperlink"/>
      <w:u w:val="single"/>
    </w:rPr>
  </w:style>
  <w:style w:type="character" w:customStyle="1" w:styleId="FunotentextZeichen">
    <w:name w:val="Fußnotentext Zeichen"/>
    <w:basedOn w:val="Absatz-Standardschriftart"/>
    <w:link w:val="Funotentext"/>
    <w:uiPriority w:val="99"/>
    <w:rsid w:val="002D6B22"/>
    <w:rPr>
      <w:sz w:val="17"/>
    </w:rPr>
  </w:style>
  <w:style w:type="paragraph" w:customStyle="1" w:styleId="Lauftext">
    <w:name w:val="Lauftext"/>
    <w:aliases w:val="Einzug"/>
    <w:basedOn w:val="Standard"/>
    <w:qFormat/>
    <w:rsid w:val="00BF510F"/>
    <w:pPr>
      <w:ind w:firstLine="284"/>
    </w:pPr>
  </w:style>
  <w:style w:type="character" w:styleId="Kommentarzeichen">
    <w:name w:val="annotation reference"/>
    <w:basedOn w:val="Absatz-Standardschriftart"/>
    <w:uiPriority w:val="99"/>
    <w:semiHidden/>
    <w:unhideWhenUsed/>
    <w:rsid w:val="004D7382"/>
    <w:rPr>
      <w:sz w:val="16"/>
      <w:szCs w:val="16"/>
    </w:rPr>
  </w:style>
  <w:style w:type="paragraph" w:styleId="Kommentartext">
    <w:name w:val="annotation text"/>
    <w:basedOn w:val="Standard"/>
    <w:link w:val="KommentartextZeichen"/>
    <w:uiPriority w:val="99"/>
    <w:semiHidden/>
    <w:unhideWhenUsed/>
    <w:rsid w:val="004D7382"/>
    <w:pPr>
      <w:spacing w:line="240" w:lineRule="auto"/>
    </w:pPr>
    <w:rPr>
      <w:sz w:val="20"/>
    </w:rPr>
  </w:style>
  <w:style w:type="character" w:customStyle="1" w:styleId="KommentartextZeichen">
    <w:name w:val="Kommentartext Zeichen"/>
    <w:basedOn w:val="Absatz-Standardschriftart"/>
    <w:link w:val="Kommentartext"/>
    <w:uiPriority w:val="99"/>
    <w:semiHidden/>
    <w:rsid w:val="004D7382"/>
  </w:style>
  <w:style w:type="paragraph" w:styleId="Kommentarthema">
    <w:name w:val="annotation subject"/>
    <w:basedOn w:val="Kommentartext"/>
    <w:next w:val="Kommentartext"/>
    <w:link w:val="KommentarthemaZeichen"/>
    <w:uiPriority w:val="99"/>
    <w:semiHidden/>
    <w:unhideWhenUsed/>
    <w:rsid w:val="004D7382"/>
    <w:rPr>
      <w:b/>
      <w:bCs/>
    </w:rPr>
  </w:style>
  <w:style w:type="character" w:customStyle="1" w:styleId="KommentarthemaZeichen">
    <w:name w:val="Kommentarthema Zeichen"/>
    <w:basedOn w:val="KommentartextZeichen"/>
    <w:link w:val="Kommentarthema"/>
    <w:uiPriority w:val="99"/>
    <w:semiHidden/>
    <w:rsid w:val="004D7382"/>
    <w:rPr>
      <w:b/>
      <w:bCs/>
    </w:rPr>
  </w:style>
  <w:style w:type="paragraph" w:styleId="berarbeitung">
    <w:name w:val="Revision"/>
    <w:hidden/>
    <w:uiPriority w:val="99"/>
    <w:semiHidden/>
    <w:rsid w:val="00DD5492"/>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04BA"/>
    <w:pPr>
      <w:spacing w:line="240" w:lineRule="exact"/>
      <w:jc w:val="both"/>
    </w:pPr>
    <w:rPr>
      <w:sz w:val="21"/>
    </w:rPr>
  </w:style>
  <w:style w:type="paragraph" w:styleId="berschrift1">
    <w:name w:val="heading 1"/>
    <w:basedOn w:val="Standard"/>
    <w:next w:val="Standard"/>
    <w:qFormat/>
    <w:rsid w:val="0079461F"/>
    <w:pPr>
      <w:keepNext/>
      <w:suppressAutoHyphens/>
      <w:spacing w:before="960" w:after="480" w:line="320" w:lineRule="exact"/>
      <w:jc w:val="left"/>
      <w:outlineLvl w:val="0"/>
    </w:pPr>
    <w:rPr>
      <w:rFonts w:cs="Arial"/>
      <w:bCs/>
      <w:kern w:val="32"/>
      <w:sz w:val="30"/>
      <w:szCs w:val="30"/>
    </w:rPr>
  </w:style>
  <w:style w:type="paragraph" w:styleId="berschrift2">
    <w:name w:val="heading 2"/>
    <w:basedOn w:val="Standard"/>
    <w:next w:val="Standard"/>
    <w:qFormat/>
    <w:rsid w:val="0079461F"/>
    <w:pPr>
      <w:keepNext/>
      <w:suppressAutoHyphens/>
      <w:spacing w:before="480" w:after="240" w:line="300" w:lineRule="exact"/>
      <w:jc w:val="left"/>
      <w:outlineLvl w:val="1"/>
    </w:pPr>
    <w:rPr>
      <w:rFonts w:cs="Arial"/>
      <w:bCs/>
      <w:iCs/>
      <w:sz w:val="26"/>
      <w:szCs w:val="26"/>
    </w:rPr>
  </w:style>
  <w:style w:type="paragraph" w:styleId="berschrift3">
    <w:name w:val="heading 3"/>
    <w:basedOn w:val="Standard"/>
    <w:next w:val="Standard"/>
    <w:qFormat/>
    <w:rsid w:val="0079461F"/>
    <w:pPr>
      <w:keepNext/>
      <w:suppressAutoHyphens/>
      <w:spacing w:before="480" w:after="240"/>
      <w:jc w:val="left"/>
      <w:outlineLvl w:val="2"/>
    </w:pPr>
    <w:rPr>
      <w:rFonts w:cs="Arial"/>
      <w:bCs/>
      <w:sz w:val="22"/>
      <w:szCs w:val="22"/>
    </w:rPr>
  </w:style>
  <w:style w:type="paragraph" w:styleId="berschrift4">
    <w:name w:val="heading 4"/>
    <w:basedOn w:val="Standard"/>
    <w:next w:val="Standard"/>
    <w:link w:val="berschrift4Zeichen"/>
    <w:uiPriority w:val="9"/>
    <w:semiHidden/>
    <w:unhideWhenUsed/>
    <w:qFormat/>
    <w:rsid w:val="00A4398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schrift">
    <w:name w:val="Grundschrift"/>
    <w:basedOn w:val="Standard"/>
    <w:rsid w:val="00765FF6"/>
  </w:style>
  <w:style w:type="paragraph" w:customStyle="1" w:styleId="GrundschriftmitEinzug">
    <w:name w:val="Grundschrift mit Einzug"/>
    <w:basedOn w:val="Grundschrift"/>
    <w:rsid w:val="00765FF6"/>
    <w:pPr>
      <w:ind w:firstLine="340"/>
    </w:pPr>
  </w:style>
  <w:style w:type="paragraph" w:customStyle="1" w:styleId="Abbildungsunterschrift">
    <w:name w:val="Abbildungsunterschrift"/>
    <w:basedOn w:val="Standard"/>
    <w:rsid w:val="00972955"/>
    <w:pPr>
      <w:spacing w:after="120" w:line="200" w:lineRule="exact"/>
      <w:jc w:val="left"/>
    </w:pPr>
    <w:rPr>
      <w:sz w:val="18"/>
      <w:szCs w:val="18"/>
    </w:rPr>
  </w:style>
  <w:style w:type="paragraph" w:customStyle="1" w:styleId="Funote">
    <w:name w:val="Fußnote"/>
    <w:basedOn w:val="Funotentext"/>
    <w:rsid w:val="00997313"/>
    <w:pPr>
      <w:spacing w:before="20" w:line="190" w:lineRule="exact"/>
      <w:ind w:left="340" w:hanging="340"/>
    </w:pPr>
    <w:rPr>
      <w:szCs w:val="17"/>
    </w:rPr>
  </w:style>
  <w:style w:type="paragraph" w:customStyle="1" w:styleId="Kolumnelinks">
    <w:name w:val="Kolumne_links"/>
    <w:basedOn w:val="Standard"/>
    <w:rsid w:val="005121A9"/>
    <w:pPr>
      <w:tabs>
        <w:tab w:val="left" w:pos="454"/>
      </w:tabs>
      <w:spacing w:after="220" w:line="220" w:lineRule="exact"/>
      <w:jc w:val="left"/>
    </w:pPr>
    <w:rPr>
      <w:sz w:val="18"/>
    </w:rPr>
  </w:style>
  <w:style w:type="paragraph" w:styleId="Funotentext">
    <w:name w:val="footnote text"/>
    <w:basedOn w:val="Standard"/>
    <w:link w:val="FunotentextZeichen"/>
    <w:uiPriority w:val="99"/>
    <w:rsid w:val="002D6B22"/>
    <w:pPr>
      <w:spacing w:line="240" w:lineRule="auto"/>
      <w:ind w:left="142" w:hanging="142"/>
      <w:jc w:val="left"/>
    </w:pPr>
    <w:rPr>
      <w:sz w:val="17"/>
    </w:rPr>
  </w:style>
  <w:style w:type="paragraph" w:customStyle="1" w:styleId="Kolumnerechts">
    <w:name w:val="Kolumne_rechts"/>
    <w:basedOn w:val="Standard"/>
    <w:rsid w:val="005121A9"/>
    <w:pPr>
      <w:tabs>
        <w:tab w:val="right" w:pos="6180"/>
        <w:tab w:val="right" w:pos="6634"/>
      </w:tabs>
      <w:spacing w:after="220" w:line="220" w:lineRule="exact"/>
      <w:jc w:val="left"/>
    </w:pPr>
    <w:rPr>
      <w:sz w:val="18"/>
    </w:rPr>
  </w:style>
  <w:style w:type="character" w:customStyle="1" w:styleId="Formatvorlage1">
    <w:name w:val="Formatvorlage1"/>
    <w:basedOn w:val="Seitenzahl"/>
    <w:rsid w:val="00997313"/>
    <w:rPr>
      <w:rFonts w:ascii="Times New Roman" w:hAnsi="Times New Roman"/>
      <w:sz w:val="20"/>
      <w:szCs w:val="20"/>
    </w:rPr>
  </w:style>
  <w:style w:type="paragraph" w:customStyle="1" w:styleId="Zitat1">
    <w:name w:val="Zitat1"/>
    <w:basedOn w:val="Grundschrift"/>
    <w:rsid w:val="000F775B"/>
    <w:pPr>
      <w:spacing w:before="120" w:after="120" w:line="210" w:lineRule="exact"/>
      <w:ind w:left="340"/>
    </w:pPr>
    <w:rPr>
      <w:sz w:val="18"/>
      <w:szCs w:val="18"/>
    </w:rPr>
  </w:style>
  <w:style w:type="character" w:styleId="Seitenzahl">
    <w:name w:val="page number"/>
    <w:basedOn w:val="Absatz-Standardschriftart"/>
    <w:rsid w:val="00997313"/>
  </w:style>
  <w:style w:type="paragraph" w:customStyle="1" w:styleId="Bibliographie">
    <w:name w:val="Bibliographie"/>
    <w:basedOn w:val="Grundschrift"/>
    <w:rsid w:val="000F775B"/>
    <w:pPr>
      <w:spacing w:before="40" w:line="200" w:lineRule="exact"/>
      <w:ind w:left="340" w:hanging="340"/>
    </w:pPr>
    <w:rPr>
      <w:sz w:val="18"/>
      <w:szCs w:val="18"/>
    </w:rPr>
  </w:style>
  <w:style w:type="paragraph" w:customStyle="1" w:styleId="Kopfzeilen">
    <w:name w:val="Kopfzeilen"/>
    <w:basedOn w:val="Standard"/>
    <w:rsid w:val="005121A9"/>
    <w:pPr>
      <w:keepNext/>
      <w:keepLines/>
      <w:tabs>
        <w:tab w:val="left" w:pos="454"/>
      </w:tabs>
      <w:spacing w:after="220" w:line="220" w:lineRule="exact"/>
      <w:jc w:val="left"/>
    </w:pPr>
    <w:rPr>
      <w:sz w:val="18"/>
      <w:szCs w:val="18"/>
    </w:rPr>
  </w:style>
  <w:style w:type="paragraph" w:customStyle="1" w:styleId="Abbunterschrift">
    <w:name w:val="Abb.unterschrift"/>
    <w:basedOn w:val="Grundschrift"/>
    <w:rsid w:val="00F97C9A"/>
    <w:pPr>
      <w:spacing w:after="120" w:line="200" w:lineRule="exact"/>
      <w:jc w:val="left"/>
    </w:pPr>
    <w:rPr>
      <w:sz w:val="18"/>
    </w:rPr>
  </w:style>
  <w:style w:type="paragraph" w:styleId="Fuzeile">
    <w:name w:val="footer"/>
    <w:basedOn w:val="Standard"/>
    <w:link w:val="FuzeileZeichen"/>
    <w:rsid w:val="00F97C9A"/>
    <w:pPr>
      <w:tabs>
        <w:tab w:val="center" w:pos="4536"/>
        <w:tab w:val="right" w:pos="9072"/>
      </w:tabs>
      <w:spacing w:line="240" w:lineRule="auto"/>
      <w:jc w:val="left"/>
    </w:pPr>
  </w:style>
  <w:style w:type="character" w:customStyle="1" w:styleId="FuzeileZeichen">
    <w:name w:val="Fußzeile Zeichen"/>
    <w:basedOn w:val="Absatz-Standardschriftart"/>
    <w:link w:val="Fuzeile"/>
    <w:rsid w:val="00F97C9A"/>
  </w:style>
  <w:style w:type="character" w:customStyle="1" w:styleId="Kolumnerechts0">
    <w:name w:val="Kolumne rechts"/>
    <w:basedOn w:val="Absatz-Standardschriftart"/>
    <w:rsid w:val="00F97C9A"/>
    <w:rPr>
      <w:rFonts w:ascii="Times New Roman" w:hAnsi="Times New Roman"/>
    </w:rPr>
  </w:style>
  <w:style w:type="character" w:customStyle="1" w:styleId="Kolumnelinks0">
    <w:name w:val="Kolumne links"/>
    <w:rsid w:val="00F97C9A"/>
  </w:style>
  <w:style w:type="paragraph" w:styleId="Sprechblasentext">
    <w:name w:val="Balloon Text"/>
    <w:basedOn w:val="Standard"/>
    <w:link w:val="SprechblasentextZeichen"/>
    <w:uiPriority w:val="99"/>
    <w:semiHidden/>
    <w:unhideWhenUsed/>
    <w:rsid w:val="00F97C9A"/>
    <w:pPr>
      <w:spacing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97C9A"/>
    <w:rPr>
      <w:rFonts w:ascii="Tahoma" w:hAnsi="Tahoma" w:cs="Tahoma"/>
      <w:sz w:val="16"/>
      <w:szCs w:val="16"/>
    </w:rPr>
  </w:style>
  <w:style w:type="paragraph" w:customStyle="1" w:styleId="Aufzhlung">
    <w:name w:val="Aufzählung"/>
    <w:basedOn w:val="Standard"/>
    <w:qFormat/>
    <w:rsid w:val="00FF340F"/>
    <w:pPr>
      <w:numPr>
        <w:numId w:val="1"/>
      </w:numPr>
      <w:ind w:left="680" w:hanging="340"/>
    </w:pPr>
  </w:style>
  <w:style w:type="paragraph" w:styleId="Kopfzeile">
    <w:name w:val="header"/>
    <w:basedOn w:val="Standard"/>
    <w:link w:val="KopfzeileZeichen"/>
    <w:unhideWhenUsed/>
    <w:rsid w:val="005121A9"/>
    <w:pPr>
      <w:tabs>
        <w:tab w:val="center" w:pos="4536"/>
        <w:tab w:val="right" w:pos="9072"/>
      </w:tabs>
      <w:spacing w:line="240" w:lineRule="auto"/>
    </w:pPr>
  </w:style>
  <w:style w:type="character" w:customStyle="1" w:styleId="KopfzeileZeichen">
    <w:name w:val="Kopfzeile Zeichen"/>
    <w:basedOn w:val="Absatz-Standardschriftart"/>
    <w:link w:val="Kopfzeile"/>
    <w:rsid w:val="005121A9"/>
  </w:style>
  <w:style w:type="paragraph" w:customStyle="1" w:styleId="Aufzhlungvor6pt">
    <w:name w:val="Aufzählung vor 6pt"/>
    <w:basedOn w:val="Standard"/>
    <w:qFormat/>
    <w:rsid w:val="00FF340F"/>
    <w:pPr>
      <w:numPr>
        <w:numId w:val="2"/>
      </w:numPr>
      <w:spacing w:before="120"/>
      <w:ind w:left="680" w:hanging="340"/>
    </w:pPr>
  </w:style>
  <w:style w:type="paragraph" w:customStyle="1" w:styleId="Aufzhlungnach6pt">
    <w:name w:val="Aufzählung nach 6pt"/>
    <w:basedOn w:val="Aufzhlungvor6pt"/>
    <w:qFormat/>
    <w:rsid w:val="00FF340F"/>
    <w:pPr>
      <w:numPr>
        <w:numId w:val="3"/>
      </w:numPr>
      <w:spacing w:before="0" w:after="120"/>
      <w:ind w:left="680" w:hanging="340"/>
    </w:pPr>
  </w:style>
  <w:style w:type="character" w:styleId="Funotenzeichen">
    <w:name w:val="footnote reference"/>
    <w:basedOn w:val="Absatz-Standardschriftart"/>
    <w:uiPriority w:val="99"/>
    <w:unhideWhenUsed/>
    <w:rsid w:val="001828CD"/>
    <w:rPr>
      <w:vertAlign w:val="superscript"/>
    </w:rPr>
  </w:style>
  <w:style w:type="character" w:customStyle="1" w:styleId="berschrift4Zeichen">
    <w:name w:val="Überschrift 4 Zeichen"/>
    <w:basedOn w:val="Absatz-Standardschriftart"/>
    <w:link w:val="berschrift4"/>
    <w:uiPriority w:val="9"/>
    <w:semiHidden/>
    <w:rsid w:val="00A4398B"/>
    <w:rPr>
      <w:rFonts w:asciiTheme="majorHAnsi" w:eastAsiaTheme="majorEastAsia" w:hAnsiTheme="majorHAnsi" w:cstheme="majorBidi"/>
      <w:b/>
      <w:bCs/>
      <w:i/>
      <w:iCs/>
      <w:color w:val="4F81BD" w:themeColor="accent1"/>
      <w:sz w:val="21"/>
    </w:rPr>
  </w:style>
  <w:style w:type="paragraph" w:styleId="Untertitel">
    <w:name w:val="Subtitle"/>
    <w:basedOn w:val="Standard"/>
    <w:next w:val="Standard"/>
    <w:link w:val="UntertitelZeichen"/>
    <w:qFormat/>
    <w:rsid w:val="00A4398B"/>
    <w:pPr>
      <w:spacing w:after="60" w:line="240" w:lineRule="auto"/>
      <w:jc w:val="center"/>
      <w:outlineLvl w:val="1"/>
    </w:pPr>
    <w:rPr>
      <w:rFonts w:ascii="Cambria" w:eastAsiaTheme="majorEastAsia" w:hAnsi="Cambria" w:cstheme="majorBidi"/>
      <w:sz w:val="24"/>
      <w:szCs w:val="24"/>
      <w:lang w:val="en-US" w:eastAsia="en-US"/>
    </w:rPr>
  </w:style>
  <w:style w:type="character" w:customStyle="1" w:styleId="UntertitelZeichen">
    <w:name w:val="Untertitel Zeichen"/>
    <w:basedOn w:val="Absatz-Standardschriftart"/>
    <w:link w:val="Untertitel"/>
    <w:rsid w:val="00A4398B"/>
    <w:rPr>
      <w:rFonts w:ascii="Cambria" w:eastAsiaTheme="majorEastAsia" w:hAnsi="Cambria" w:cstheme="majorBidi"/>
      <w:sz w:val="24"/>
      <w:szCs w:val="24"/>
      <w:lang w:val="en-US" w:eastAsia="en-US"/>
    </w:rPr>
  </w:style>
  <w:style w:type="paragraph" w:styleId="Listenabsatz">
    <w:name w:val="List Paragraph"/>
    <w:basedOn w:val="Standard"/>
    <w:uiPriority w:val="34"/>
    <w:qFormat/>
    <w:rsid w:val="00A4398B"/>
    <w:pPr>
      <w:spacing w:line="240" w:lineRule="auto"/>
      <w:ind w:left="720"/>
      <w:contextualSpacing/>
    </w:pPr>
    <w:rPr>
      <w:rFonts w:ascii="Garamond" w:hAnsi="Garamond"/>
      <w:sz w:val="24"/>
      <w:szCs w:val="24"/>
      <w:lang w:val="en-US"/>
    </w:rPr>
  </w:style>
  <w:style w:type="character" w:styleId="Hyperlink">
    <w:name w:val="Hyperlink"/>
    <w:basedOn w:val="Absatz-Standardschriftart"/>
    <w:uiPriority w:val="99"/>
    <w:unhideWhenUsed/>
    <w:rsid w:val="00A4398B"/>
    <w:rPr>
      <w:color w:val="0000FF" w:themeColor="hyperlink"/>
      <w:u w:val="single"/>
    </w:rPr>
  </w:style>
  <w:style w:type="character" w:customStyle="1" w:styleId="FunotentextZeichen">
    <w:name w:val="Fußnotentext Zeichen"/>
    <w:basedOn w:val="Absatz-Standardschriftart"/>
    <w:link w:val="Funotentext"/>
    <w:uiPriority w:val="99"/>
    <w:rsid w:val="002D6B22"/>
    <w:rPr>
      <w:sz w:val="17"/>
    </w:rPr>
  </w:style>
  <w:style w:type="paragraph" w:customStyle="1" w:styleId="Lauftext">
    <w:name w:val="Lauftext"/>
    <w:aliases w:val="Einzug"/>
    <w:basedOn w:val="Standard"/>
    <w:qFormat/>
    <w:rsid w:val="00BF510F"/>
    <w:pPr>
      <w:ind w:firstLine="284"/>
    </w:pPr>
  </w:style>
  <w:style w:type="character" w:styleId="Kommentarzeichen">
    <w:name w:val="annotation reference"/>
    <w:basedOn w:val="Absatz-Standardschriftart"/>
    <w:uiPriority w:val="99"/>
    <w:semiHidden/>
    <w:unhideWhenUsed/>
    <w:rsid w:val="004D7382"/>
    <w:rPr>
      <w:sz w:val="16"/>
      <w:szCs w:val="16"/>
    </w:rPr>
  </w:style>
  <w:style w:type="paragraph" w:styleId="Kommentartext">
    <w:name w:val="annotation text"/>
    <w:basedOn w:val="Standard"/>
    <w:link w:val="KommentartextZeichen"/>
    <w:uiPriority w:val="99"/>
    <w:semiHidden/>
    <w:unhideWhenUsed/>
    <w:rsid w:val="004D7382"/>
    <w:pPr>
      <w:spacing w:line="240" w:lineRule="auto"/>
    </w:pPr>
    <w:rPr>
      <w:sz w:val="20"/>
    </w:rPr>
  </w:style>
  <w:style w:type="character" w:customStyle="1" w:styleId="KommentartextZeichen">
    <w:name w:val="Kommentartext Zeichen"/>
    <w:basedOn w:val="Absatz-Standardschriftart"/>
    <w:link w:val="Kommentartext"/>
    <w:uiPriority w:val="99"/>
    <w:semiHidden/>
    <w:rsid w:val="004D7382"/>
  </w:style>
  <w:style w:type="paragraph" w:styleId="Kommentarthema">
    <w:name w:val="annotation subject"/>
    <w:basedOn w:val="Kommentartext"/>
    <w:next w:val="Kommentartext"/>
    <w:link w:val="KommentarthemaZeichen"/>
    <w:uiPriority w:val="99"/>
    <w:semiHidden/>
    <w:unhideWhenUsed/>
    <w:rsid w:val="004D7382"/>
    <w:rPr>
      <w:b/>
      <w:bCs/>
    </w:rPr>
  </w:style>
  <w:style w:type="character" w:customStyle="1" w:styleId="KommentarthemaZeichen">
    <w:name w:val="Kommentarthema Zeichen"/>
    <w:basedOn w:val="KommentartextZeichen"/>
    <w:link w:val="Kommentarthema"/>
    <w:uiPriority w:val="99"/>
    <w:semiHidden/>
    <w:rsid w:val="004D7382"/>
    <w:rPr>
      <w:b/>
      <w:bCs/>
    </w:rPr>
  </w:style>
  <w:style w:type="paragraph" w:styleId="berarbeitung">
    <w:name w:val="Revision"/>
    <w:hidden/>
    <w:uiPriority w:val="99"/>
    <w:semiHidden/>
    <w:rsid w:val="00DD5492"/>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hysik.uni-oldenburg.de/conferences/crisp97/roosendaal.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lpub.scix.net/data/works/att/149_elpub2008.content.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pc.colorado.edu/blog/dilemma-fast-cheap"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lisa.gerda-henkel-stiftung.de/beitraege?what=tag&amp;search_tag=DFG+Workshop"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insidehighered.com/news/2015/02/25/researchers-university-press-directors-emboldened-mellon-foundation-interes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egruyter.com/applib/newsitem/56/die-maxplanckgesellschaft-und-de-gruyter-schlieen-rahmenvertrag-zur-publikation-von-open-accessbchern" TargetMode="External"/><Relationship Id="rId13" Type="http://schemas.openxmlformats.org/officeDocument/2006/relationships/hyperlink" Target="http://www.palgrave.com/open/faq.asp" TargetMode="External"/><Relationship Id="rId3" Type="http://schemas.openxmlformats.org/officeDocument/2006/relationships/hyperlink" Target="https://www.openlibhums.org/" TargetMode="External"/><Relationship Id="rId7" Type="http://schemas.openxmlformats.org/officeDocument/2006/relationships/hyperlink" Target="http://gepris.dfg.de/gepris/projekt/243780697" TargetMode="External"/><Relationship Id="rId12" Type="http://schemas.openxmlformats.org/officeDocument/2006/relationships/hyperlink" Target="http://www.springeropen.com/books" TargetMode="External"/><Relationship Id="rId17" Type="http://schemas.openxmlformats.org/officeDocument/2006/relationships/hyperlink" Target="http://library.stanford.edu/news/2015/01/stanford-university-press-awarded-12-million-publishing-interactive-scholarly-works" TargetMode="External"/><Relationship Id="rId2" Type="http://schemas.openxmlformats.org/officeDocument/2006/relationships/hyperlink" Target="http://www.sub.uni-goettingen.de/wir-ueber-uns/nutzerbefragung-2014/" TargetMode="External"/><Relationship Id="rId16" Type="http://schemas.openxmlformats.org/officeDocument/2006/relationships/hyperlink" Target="http://iiif.io/model/shared-canvas/1.0/index.html" TargetMode="External"/><Relationship Id="rId1" Type="http://schemas.openxmlformats.org/officeDocument/2006/relationships/hyperlink" Target="http://www.thenation.com/article/university-presses-under-fire/" TargetMode="External"/><Relationship Id="rId6" Type="http://schemas.openxmlformats.org/officeDocument/2006/relationships/hyperlink" Target="http://gepris.dfg.de/gepris/projekt/244036188" TargetMode="External"/><Relationship Id="rId11" Type="http://schemas.openxmlformats.org/officeDocument/2006/relationships/hyperlink" Target="http://blog.bibliothek.kit.edu/ag_univerlage/" TargetMode="External"/><Relationship Id="rId5" Type="http://schemas.openxmlformats.org/officeDocument/2006/relationships/hyperlink" Target="https://www.youtube.com/watch?v=OrswNLKQwW0" TargetMode="External"/><Relationship Id="rId15" Type="http://schemas.openxmlformats.org/officeDocument/2006/relationships/hyperlink" Target="http://www.dig-hum.de/ueber-dhd" TargetMode="External"/><Relationship Id="rId10" Type="http://schemas.openxmlformats.org/officeDocument/2006/relationships/hyperlink" Target="http://oreilly.com/openbook/" TargetMode="External"/><Relationship Id="rId4" Type="http://schemas.openxmlformats.org/officeDocument/2006/relationships/hyperlink" Target="http://oapen-uk.jiscebooks.org/research-findings/researchersurvey/" TargetMode="External"/><Relationship Id="rId9" Type="http://schemas.openxmlformats.org/officeDocument/2006/relationships/hyperlink" Target="http://www.palgrave.com/open/faq.asp" TargetMode="External"/><Relationship Id="rId14" Type="http://schemas.openxmlformats.org/officeDocument/2006/relationships/hyperlink" Target="http://www.fwf.ac.at/de/projects/selbststaendige_publikation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ltenhoefer\Lokale%20Einstellungen\Temporary%20Internet%20Files\Content.Outlook\0HDLYFIH\WdG_BIB_Formatvorlage_Maerz201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AAB97-4C80-4854-B3EA-0559CEC0E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WdG_BIB_Formatvorlage_Maerz2011.dotx</Template>
  <TotalTime>0</TotalTime>
  <Pages>11</Pages>
  <Words>3800</Words>
  <Characters>23945</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SUB Göttingen</Company>
  <LinksUpToDate>false</LinksUpToDate>
  <CharactersWithSpaces>27690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altenhoefer</dc:creator>
  <cp:lastModifiedBy>Margo Bargheer</cp:lastModifiedBy>
  <cp:revision>2</cp:revision>
  <cp:lastPrinted>2015-11-02T09:14:00Z</cp:lastPrinted>
  <dcterms:created xsi:type="dcterms:W3CDTF">2015-11-04T13:34:00Z</dcterms:created>
  <dcterms:modified xsi:type="dcterms:W3CDTF">2015-11-04T13:34:00Z</dcterms:modified>
</cp:coreProperties>
</file>